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54A00">
      <w:pPr>
        <w:jc w:val="center"/>
        <w:rPr>
          <w:rFonts w:ascii="宋体" w:hAnsi="宋体" w:cs="宋体"/>
          <w:sz w:val="36"/>
          <w:szCs w:val="36"/>
          <w:highlight w:val="none"/>
        </w:rPr>
      </w:pPr>
      <w:r>
        <w:rPr>
          <w:rFonts w:hint="eastAsia" w:ascii="宋体" w:hAnsi="宋体" w:cs="宋体"/>
          <w:spacing w:val="6"/>
          <w:sz w:val="36"/>
          <w:szCs w:val="36"/>
          <w:highlight w:val="none"/>
        </w:rPr>
        <w:t>合肥野生动物园</w:t>
      </w:r>
      <w:r>
        <w:rPr>
          <w:rFonts w:hint="eastAsia" w:ascii="宋体" w:hAnsi="宋体" w:cs="宋体"/>
          <w:spacing w:val="6"/>
          <w:sz w:val="36"/>
          <w:szCs w:val="36"/>
          <w:highlight w:val="none"/>
          <w:lang w:val="en-US" w:eastAsia="zh-CN"/>
        </w:rPr>
        <w:t>导览图、纪念票自助打印项目</w:t>
      </w:r>
      <w:r>
        <w:rPr>
          <w:rFonts w:hint="eastAsia" w:ascii="宋体" w:hAnsi="宋体" w:cs="宋体"/>
          <w:spacing w:val="3"/>
          <w:sz w:val="36"/>
          <w:szCs w:val="36"/>
          <w:highlight w:val="none"/>
        </w:rPr>
        <w:t>招商</w:t>
      </w:r>
      <w:r>
        <w:rPr>
          <w:rFonts w:ascii="宋体" w:hAnsi="宋体" w:cs="宋体"/>
          <w:spacing w:val="3"/>
          <w:sz w:val="36"/>
          <w:szCs w:val="36"/>
          <w:highlight w:val="none"/>
        </w:rPr>
        <w:t>公告</w:t>
      </w:r>
    </w:p>
    <w:tbl>
      <w:tblPr>
        <w:tblStyle w:val="8"/>
        <w:tblW w:w="10055"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6"/>
        <w:gridCol w:w="2043"/>
        <w:gridCol w:w="2244"/>
        <w:gridCol w:w="1176"/>
        <w:gridCol w:w="1488"/>
        <w:gridCol w:w="1688"/>
      </w:tblGrid>
      <w:tr w14:paraId="2018E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6" w:type="dxa"/>
            <w:noWrap w:val="0"/>
            <w:vAlign w:val="top"/>
          </w:tcPr>
          <w:p w14:paraId="5A63687E">
            <w:pPr>
              <w:pStyle w:val="11"/>
              <w:spacing w:before="119"/>
              <w:ind w:left="241"/>
              <w:rPr>
                <w:highlight w:val="none"/>
              </w:rPr>
            </w:pPr>
            <w:r>
              <w:rPr>
                <w:spacing w:val="-4"/>
                <w:highlight w:val="none"/>
              </w:rPr>
              <w:t>项目名称</w:t>
            </w:r>
          </w:p>
        </w:tc>
        <w:tc>
          <w:tcPr>
            <w:tcW w:w="8639" w:type="dxa"/>
            <w:gridSpan w:val="5"/>
            <w:noWrap w:val="0"/>
            <w:vAlign w:val="top"/>
          </w:tcPr>
          <w:p w14:paraId="67C0C4C0">
            <w:pPr>
              <w:pStyle w:val="11"/>
              <w:spacing w:before="119"/>
              <w:ind w:left="105" w:leftChars="50"/>
              <w:rPr>
                <w:rFonts w:hint="eastAsia"/>
                <w:highlight w:val="none"/>
                <w:lang w:eastAsia="zh-CN"/>
              </w:rPr>
            </w:pPr>
            <w:r>
              <w:rPr>
                <w:rFonts w:hint="eastAsia"/>
                <w:spacing w:val="-2"/>
                <w:highlight w:val="none"/>
                <w:lang w:eastAsia="zh-CN"/>
              </w:rPr>
              <w:t>合肥野生动物园导览图、纪念票自助打印</w:t>
            </w:r>
          </w:p>
        </w:tc>
      </w:tr>
      <w:tr w14:paraId="44E36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6" w:type="dxa"/>
            <w:noWrap w:val="0"/>
            <w:vAlign w:val="top"/>
          </w:tcPr>
          <w:p w14:paraId="39422318">
            <w:pPr>
              <w:pStyle w:val="11"/>
              <w:spacing w:before="115"/>
              <w:ind w:left="241"/>
              <w:rPr>
                <w:highlight w:val="none"/>
              </w:rPr>
            </w:pPr>
            <w:r>
              <w:rPr>
                <w:spacing w:val="-4"/>
                <w:highlight w:val="none"/>
              </w:rPr>
              <w:t>项目编号</w:t>
            </w:r>
          </w:p>
        </w:tc>
        <w:tc>
          <w:tcPr>
            <w:tcW w:w="8639" w:type="dxa"/>
            <w:gridSpan w:val="5"/>
            <w:noWrap w:val="0"/>
            <w:vAlign w:val="top"/>
          </w:tcPr>
          <w:p w14:paraId="5EBCA2CE">
            <w:pPr>
              <w:pStyle w:val="11"/>
              <w:spacing w:before="152"/>
              <w:ind w:left="105" w:leftChars="50"/>
              <w:rPr>
                <w:rFonts w:hint="default"/>
                <w:highlight w:val="none"/>
                <w:lang w:val="en-US" w:eastAsia="zh-CN"/>
              </w:rPr>
            </w:pPr>
            <w:r>
              <w:rPr>
                <w:rFonts w:hint="eastAsia"/>
                <w:highlight w:val="none"/>
                <w:lang w:eastAsia="zh-CN"/>
              </w:rPr>
              <w:t>DWYSG01</w:t>
            </w:r>
            <w:r>
              <w:rPr>
                <w:rFonts w:hint="eastAsia"/>
                <w:highlight w:val="none"/>
                <w:lang w:val="en-US" w:eastAsia="zh-CN"/>
              </w:rPr>
              <w:t>8</w:t>
            </w:r>
          </w:p>
        </w:tc>
      </w:tr>
      <w:tr w14:paraId="4B585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6" w:type="dxa"/>
            <w:noWrap w:val="0"/>
            <w:vAlign w:val="top"/>
          </w:tcPr>
          <w:p w14:paraId="22A83564">
            <w:pPr>
              <w:pStyle w:val="11"/>
              <w:spacing w:before="116"/>
              <w:ind w:left="356"/>
              <w:rPr>
                <w:rFonts w:hint="eastAsia"/>
                <w:highlight w:val="none"/>
                <w:lang w:eastAsia="zh-CN"/>
              </w:rPr>
            </w:pPr>
            <w:r>
              <w:rPr>
                <w:rFonts w:hint="eastAsia"/>
                <w:spacing w:val="-3"/>
                <w:highlight w:val="none"/>
                <w:lang w:eastAsia="zh-CN"/>
              </w:rPr>
              <w:t>招商方</w:t>
            </w:r>
          </w:p>
        </w:tc>
        <w:tc>
          <w:tcPr>
            <w:tcW w:w="8639" w:type="dxa"/>
            <w:gridSpan w:val="5"/>
            <w:noWrap w:val="0"/>
            <w:vAlign w:val="center"/>
          </w:tcPr>
          <w:p w14:paraId="051E7D95">
            <w:pPr>
              <w:pStyle w:val="11"/>
              <w:spacing w:before="116"/>
              <w:ind w:left="105" w:leftChars="50"/>
              <w:rPr>
                <w:highlight w:val="none"/>
                <w:lang w:eastAsia="zh-CN"/>
              </w:rPr>
            </w:pPr>
            <w:r>
              <w:rPr>
                <w:rFonts w:hint="eastAsia"/>
                <w:highlight w:val="none"/>
                <w:lang w:eastAsia="zh-CN"/>
              </w:rPr>
              <w:t>合肥文旅博览集团野生动物园管理有限公司</w:t>
            </w:r>
          </w:p>
        </w:tc>
      </w:tr>
      <w:tr w14:paraId="68652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16" w:type="dxa"/>
            <w:noWrap w:val="0"/>
            <w:vAlign w:val="top"/>
          </w:tcPr>
          <w:p w14:paraId="309AE386">
            <w:pPr>
              <w:pStyle w:val="11"/>
              <w:spacing w:before="316"/>
              <w:ind w:left="116"/>
              <w:rPr>
                <w:highlight w:val="none"/>
              </w:rPr>
            </w:pPr>
            <w:r>
              <w:rPr>
                <w:rFonts w:hint="eastAsia"/>
                <w:spacing w:val="-2"/>
                <w:highlight w:val="none"/>
                <w:lang w:eastAsia="zh-CN"/>
              </w:rPr>
              <w:t>招商方</w:t>
            </w:r>
            <w:r>
              <w:rPr>
                <w:spacing w:val="-2"/>
                <w:highlight w:val="none"/>
              </w:rPr>
              <w:t>承诺</w:t>
            </w:r>
          </w:p>
        </w:tc>
        <w:tc>
          <w:tcPr>
            <w:tcW w:w="8639" w:type="dxa"/>
            <w:gridSpan w:val="5"/>
            <w:noWrap w:val="0"/>
            <w:vAlign w:val="top"/>
          </w:tcPr>
          <w:p w14:paraId="5E176B3D">
            <w:pPr>
              <w:pStyle w:val="11"/>
              <w:spacing w:before="116"/>
              <w:ind w:left="119" w:right="28" w:hanging="6"/>
              <w:rPr>
                <w:highlight w:val="none"/>
                <w:lang w:eastAsia="zh-CN"/>
              </w:rPr>
            </w:pPr>
            <w:r>
              <w:rPr>
                <w:rFonts w:hint="eastAsia"/>
                <w:spacing w:val="-3"/>
                <w:highlight w:val="none"/>
                <w:lang w:eastAsia="zh-CN"/>
              </w:rPr>
              <w:t>招商方</w:t>
            </w:r>
            <w:r>
              <w:rPr>
                <w:spacing w:val="-3"/>
                <w:highlight w:val="none"/>
                <w:lang w:eastAsia="zh-CN"/>
              </w:rPr>
              <w:t>承诺本次</w:t>
            </w:r>
            <w:r>
              <w:rPr>
                <w:rFonts w:hint="eastAsia"/>
                <w:spacing w:val="-3"/>
                <w:highlight w:val="none"/>
                <w:lang w:eastAsia="zh-CN"/>
              </w:rPr>
              <w:t>招商</w:t>
            </w:r>
            <w:r>
              <w:rPr>
                <w:spacing w:val="-3"/>
                <w:highlight w:val="none"/>
                <w:lang w:eastAsia="zh-CN"/>
              </w:rPr>
              <w:t>行为已履行了必要的审批程序，保证本公告的内容不存在任</w:t>
            </w:r>
            <w:r>
              <w:rPr>
                <w:spacing w:val="-7"/>
                <w:highlight w:val="none"/>
                <w:lang w:eastAsia="zh-CN"/>
              </w:rPr>
              <w:t>何重大遗漏、虚假陈述或严重误导，并对其内容的真实性、完整性和准确性负责。</w:t>
            </w:r>
          </w:p>
        </w:tc>
      </w:tr>
      <w:tr w14:paraId="3D6B3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1416" w:type="dxa"/>
            <w:noWrap w:val="0"/>
            <w:vAlign w:val="top"/>
          </w:tcPr>
          <w:p w14:paraId="01E4015B">
            <w:pPr>
              <w:pStyle w:val="11"/>
              <w:spacing w:before="115"/>
              <w:ind w:left="121"/>
              <w:jc w:val="center"/>
              <w:rPr>
                <w:highlight w:val="none"/>
              </w:rPr>
            </w:pPr>
            <w:r>
              <w:rPr>
                <w:spacing w:val="-3"/>
                <w:position w:val="11"/>
                <w:highlight w:val="none"/>
              </w:rPr>
              <w:t>交易监督部</w:t>
            </w:r>
            <w:r>
              <w:rPr>
                <w:highlight w:val="none"/>
              </w:rPr>
              <w:t>门</w:t>
            </w:r>
          </w:p>
        </w:tc>
        <w:tc>
          <w:tcPr>
            <w:tcW w:w="8639" w:type="dxa"/>
            <w:gridSpan w:val="5"/>
            <w:noWrap w:val="0"/>
            <w:vAlign w:val="center"/>
          </w:tcPr>
          <w:p w14:paraId="6E68BFCC">
            <w:pPr>
              <w:pStyle w:val="11"/>
              <w:spacing w:before="116"/>
              <w:ind w:left="113"/>
              <w:jc w:val="left"/>
              <w:rPr>
                <w:rFonts w:hint="eastAsia"/>
                <w:spacing w:val="-1"/>
                <w:position w:val="11"/>
                <w:highlight w:val="none"/>
                <w:lang w:eastAsia="zh-CN"/>
              </w:rPr>
            </w:pPr>
            <w:r>
              <w:rPr>
                <w:rFonts w:hint="eastAsia"/>
                <w:spacing w:val="-1"/>
                <w:position w:val="11"/>
                <w:highlight w:val="none"/>
                <w:lang w:eastAsia="zh-CN"/>
              </w:rPr>
              <w:t>合肥文旅博览集团野生动物园管理有限公司纪检（督察）室</w:t>
            </w:r>
          </w:p>
          <w:p w14:paraId="494F75F8">
            <w:pPr>
              <w:pStyle w:val="11"/>
              <w:ind w:left="113"/>
              <w:jc w:val="left"/>
              <w:rPr>
                <w:highlight w:val="none"/>
                <w:lang w:eastAsia="zh-CN"/>
              </w:rPr>
            </w:pPr>
            <w:r>
              <w:rPr>
                <w:spacing w:val="-1"/>
                <w:position w:val="11"/>
                <w:highlight w:val="none"/>
                <w:lang w:eastAsia="zh-CN"/>
              </w:rPr>
              <w:t>联系方式：</w:t>
            </w:r>
            <w:r>
              <w:rPr>
                <w:rFonts w:hint="eastAsia"/>
                <w:spacing w:val="-1"/>
                <w:position w:val="11"/>
                <w:highlight w:val="none"/>
                <w:lang w:eastAsia="zh-CN"/>
              </w:rPr>
              <w:t>0551-65395906</w:t>
            </w:r>
          </w:p>
        </w:tc>
      </w:tr>
      <w:tr w14:paraId="6A96D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1416" w:type="dxa"/>
            <w:noWrap w:val="0"/>
            <w:vAlign w:val="center"/>
          </w:tcPr>
          <w:p w14:paraId="3F0C1DF5">
            <w:pPr>
              <w:pStyle w:val="11"/>
              <w:spacing w:before="117"/>
              <w:jc w:val="center"/>
              <w:rPr>
                <w:rFonts w:hint="eastAsia"/>
                <w:spacing w:val="-6"/>
                <w:highlight w:val="none"/>
                <w:lang w:eastAsia="zh-CN"/>
              </w:rPr>
            </w:pPr>
            <w:r>
              <w:rPr>
                <w:rFonts w:hint="eastAsia"/>
                <w:color w:val="000000"/>
                <w:highlight w:val="none"/>
              </w:rPr>
              <w:t>公告、</w:t>
            </w:r>
            <w:r>
              <w:rPr>
                <w:rFonts w:hint="eastAsia"/>
                <w:color w:val="000000"/>
                <w:highlight w:val="none"/>
                <w:lang w:eastAsia="zh-CN"/>
              </w:rPr>
              <w:t>开标期</w:t>
            </w:r>
            <w:r>
              <w:rPr>
                <w:rFonts w:hint="eastAsia"/>
                <w:color w:val="000000"/>
                <w:highlight w:val="none"/>
              </w:rPr>
              <w:t>限</w:t>
            </w:r>
          </w:p>
        </w:tc>
        <w:tc>
          <w:tcPr>
            <w:tcW w:w="8639" w:type="dxa"/>
            <w:gridSpan w:val="5"/>
            <w:noWrap w:val="0"/>
            <w:vAlign w:val="top"/>
          </w:tcPr>
          <w:p w14:paraId="54266AF7">
            <w:pPr>
              <w:pStyle w:val="12"/>
              <w:adjustRightInd w:val="0"/>
              <w:snapToGrid w:val="0"/>
              <w:spacing w:before="116"/>
              <w:ind w:left="105" w:leftChars="50"/>
              <w:rPr>
                <w:color w:val="000000"/>
                <w:sz w:val="24"/>
                <w:highlight w:val="none"/>
                <w:lang w:val="en-US"/>
              </w:rPr>
            </w:pPr>
            <w:r>
              <w:rPr>
                <w:rFonts w:hint="eastAsia"/>
                <w:b/>
                <w:bCs/>
                <w:color w:val="000000"/>
                <w:sz w:val="24"/>
                <w:highlight w:val="none"/>
                <w:lang w:val="en-US"/>
              </w:rPr>
              <w:t>1.</w:t>
            </w:r>
            <w:r>
              <w:rPr>
                <w:rFonts w:hint="eastAsia"/>
                <w:b/>
                <w:bCs/>
                <w:color w:val="000000"/>
                <w:sz w:val="24"/>
                <w:highlight w:val="none"/>
              </w:rPr>
              <w:t>公告期</w:t>
            </w:r>
            <w:r>
              <w:rPr>
                <w:rFonts w:hint="eastAsia"/>
                <w:color w:val="000000"/>
                <w:sz w:val="24"/>
                <w:highlight w:val="none"/>
                <w:lang w:val="en-US"/>
              </w:rPr>
              <w:t>：</w:t>
            </w:r>
            <w:r>
              <w:rPr>
                <w:rFonts w:hint="eastAsia"/>
                <w:color w:val="000000"/>
                <w:sz w:val="24"/>
                <w:highlight w:val="none"/>
                <w:lang w:val="en-US" w:eastAsia="zh-CN"/>
              </w:rPr>
              <w:t>2026</w:t>
            </w:r>
            <w:r>
              <w:rPr>
                <w:rFonts w:hint="eastAsia"/>
                <w:color w:val="000000"/>
                <w:sz w:val="24"/>
                <w:highlight w:val="none"/>
                <w:lang w:val="en-US"/>
              </w:rPr>
              <w:t>年</w:t>
            </w:r>
            <w:r>
              <w:rPr>
                <w:rFonts w:hint="eastAsia"/>
                <w:color w:val="000000"/>
                <w:sz w:val="24"/>
                <w:highlight w:val="none"/>
                <w:lang w:val="en-US" w:eastAsia="zh-CN"/>
              </w:rPr>
              <w:t>3</w:t>
            </w:r>
            <w:r>
              <w:rPr>
                <w:rFonts w:hint="eastAsia"/>
                <w:color w:val="000000"/>
                <w:sz w:val="24"/>
                <w:highlight w:val="none"/>
                <w:lang w:val="en-US"/>
              </w:rPr>
              <w:t>月</w:t>
            </w:r>
            <w:r>
              <w:rPr>
                <w:rFonts w:hint="eastAsia"/>
                <w:color w:val="000000"/>
                <w:sz w:val="24"/>
                <w:highlight w:val="none"/>
                <w:lang w:val="en-US" w:eastAsia="zh-CN"/>
              </w:rPr>
              <w:t>20</w:t>
            </w:r>
            <w:r>
              <w:rPr>
                <w:rFonts w:hint="eastAsia"/>
                <w:color w:val="000000"/>
                <w:sz w:val="24"/>
                <w:highlight w:val="none"/>
                <w:lang w:val="en-US"/>
              </w:rPr>
              <w:t>日至</w:t>
            </w:r>
            <w:r>
              <w:rPr>
                <w:rFonts w:hint="eastAsia"/>
                <w:color w:val="000000"/>
                <w:sz w:val="24"/>
                <w:highlight w:val="none"/>
                <w:lang w:val="en-US" w:eastAsia="zh-CN"/>
              </w:rPr>
              <w:t>2026</w:t>
            </w:r>
            <w:r>
              <w:rPr>
                <w:rFonts w:hint="eastAsia"/>
                <w:color w:val="000000"/>
                <w:sz w:val="24"/>
                <w:highlight w:val="none"/>
                <w:lang w:val="en-US"/>
              </w:rPr>
              <w:t>年</w:t>
            </w:r>
            <w:r>
              <w:rPr>
                <w:rFonts w:hint="eastAsia"/>
                <w:color w:val="000000"/>
                <w:sz w:val="24"/>
                <w:highlight w:val="none"/>
                <w:lang w:val="en-US" w:eastAsia="zh-CN"/>
              </w:rPr>
              <w:t>3</w:t>
            </w:r>
            <w:r>
              <w:rPr>
                <w:rFonts w:hint="eastAsia"/>
                <w:color w:val="000000"/>
                <w:sz w:val="24"/>
                <w:highlight w:val="none"/>
                <w:lang w:val="en-US"/>
              </w:rPr>
              <w:t>月</w:t>
            </w:r>
            <w:r>
              <w:rPr>
                <w:rFonts w:hint="eastAsia"/>
                <w:color w:val="000000"/>
                <w:sz w:val="24"/>
                <w:highlight w:val="none"/>
                <w:lang w:val="en-US" w:eastAsia="zh-CN"/>
              </w:rPr>
              <w:t>30</w:t>
            </w:r>
            <w:r>
              <w:rPr>
                <w:rFonts w:hint="eastAsia"/>
                <w:color w:val="000000"/>
                <w:sz w:val="24"/>
                <w:highlight w:val="none"/>
                <w:lang w:val="en-US"/>
              </w:rPr>
              <w:t>日</w:t>
            </w:r>
          </w:p>
          <w:p w14:paraId="56D1AF98">
            <w:pPr>
              <w:pStyle w:val="12"/>
              <w:ind w:left="105" w:leftChars="50"/>
              <w:rPr>
                <w:rFonts w:hint="default" w:eastAsia="宋体"/>
                <w:color w:val="000000"/>
                <w:sz w:val="24"/>
                <w:highlight w:val="none"/>
                <w:lang w:val="en-US" w:eastAsia="zh-CN"/>
              </w:rPr>
            </w:pPr>
            <w:r>
              <w:rPr>
                <w:rFonts w:hint="eastAsia"/>
                <w:b/>
                <w:bCs/>
                <w:color w:val="000000"/>
                <w:sz w:val="24"/>
                <w:highlight w:val="none"/>
              </w:rPr>
              <w:t>2.</w:t>
            </w:r>
            <w:r>
              <w:rPr>
                <w:rFonts w:hint="eastAsia"/>
                <w:b/>
                <w:bCs/>
                <w:color w:val="000000"/>
                <w:sz w:val="24"/>
                <w:highlight w:val="none"/>
                <w:lang w:val="en-US"/>
              </w:rPr>
              <w:t>开标日期</w:t>
            </w:r>
            <w:r>
              <w:rPr>
                <w:rFonts w:hint="eastAsia"/>
                <w:b/>
                <w:bCs/>
                <w:color w:val="000000"/>
                <w:sz w:val="24"/>
                <w:highlight w:val="none"/>
              </w:rPr>
              <w:t>：</w:t>
            </w:r>
            <w:r>
              <w:rPr>
                <w:rFonts w:hint="eastAsia"/>
                <w:color w:val="000000"/>
                <w:sz w:val="24"/>
                <w:highlight w:val="none"/>
                <w:lang w:val="en-US" w:eastAsia="zh-CN"/>
              </w:rPr>
              <w:t>2026</w:t>
            </w:r>
            <w:r>
              <w:rPr>
                <w:rFonts w:hint="eastAsia"/>
                <w:color w:val="000000"/>
                <w:sz w:val="24"/>
                <w:highlight w:val="none"/>
                <w:lang w:val="en-US"/>
              </w:rPr>
              <w:t>年</w:t>
            </w:r>
            <w:r>
              <w:rPr>
                <w:rFonts w:hint="eastAsia"/>
                <w:color w:val="000000"/>
                <w:sz w:val="24"/>
                <w:highlight w:val="none"/>
                <w:lang w:val="en-US" w:eastAsia="zh-CN"/>
              </w:rPr>
              <w:t>3</w:t>
            </w:r>
            <w:r>
              <w:rPr>
                <w:rFonts w:hint="eastAsia"/>
                <w:color w:val="000000"/>
                <w:sz w:val="24"/>
                <w:highlight w:val="none"/>
                <w:lang w:val="en-US"/>
              </w:rPr>
              <w:t>月</w:t>
            </w:r>
            <w:r>
              <w:rPr>
                <w:rFonts w:hint="eastAsia"/>
                <w:color w:val="000000"/>
                <w:sz w:val="24"/>
                <w:highlight w:val="none"/>
                <w:lang w:val="en-US" w:eastAsia="zh-CN"/>
              </w:rPr>
              <w:t>31</w:t>
            </w:r>
            <w:r>
              <w:rPr>
                <w:rFonts w:hint="eastAsia"/>
                <w:color w:val="000000"/>
                <w:sz w:val="24"/>
                <w:highlight w:val="none"/>
                <w:lang w:val="en-US"/>
              </w:rPr>
              <w:t>日</w:t>
            </w:r>
            <w:r>
              <w:rPr>
                <w:rFonts w:hint="eastAsia"/>
                <w:color w:val="000000"/>
                <w:sz w:val="24"/>
                <w:highlight w:val="none"/>
                <w:lang w:val="en-US" w:eastAsia="zh-CN"/>
              </w:rPr>
              <w:t>上午9：00</w:t>
            </w:r>
            <w:r>
              <w:rPr>
                <w:rFonts w:hint="eastAsia"/>
                <w:color w:val="000000"/>
                <w:sz w:val="24"/>
                <w:highlight w:val="none"/>
                <w:lang w:val="en-US" w:eastAsia="zh-CN"/>
              </w:rPr>
              <w:t xml:space="preserve"> （合作方需派代表现场参与开标）</w:t>
            </w:r>
          </w:p>
          <w:p w14:paraId="6B88B572">
            <w:pPr>
              <w:pStyle w:val="12"/>
              <w:ind w:left="105" w:leftChars="50"/>
              <w:rPr>
                <w:highlight w:val="none"/>
              </w:rPr>
            </w:pPr>
            <w:r>
              <w:rPr>
                <w:rFonts w:hint="eastAsia"/>
                <w:b/>
                <w:bCs/>
                <w:color w:val="000000"/>
                <w:sz w:val="24"/>
                <w:highlight w:val="none"/>
                <w:lang w:val="en-US"/>
              </w:rPr>
              <w:t>3.地址：</w:t>
            </w:r>
            <w:r>
              <w:rPr>
                <w:rFonts w:hint="eastAsia"/>
                <w:color w:val="000000"/>
                <w:sz w:val="24"/>
                <w:highlight w:val="none"/>
                <w:lang w:val="en-US"/>
              </w:rPr>
              <w:t>合肥市高新区望江西路600号合肥野生动物园东门办公区小会议室。</w:t>
            </w:r>
          </w:p>
        </w:tc>
      </w:tr>
      <w:tr w14:paraId="6DBC5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0055" w:type="dxa"/>
            <w:gridSpan w:val="6"/>
            <w:noWrap w:val="0"/>
            <w:vAlign w:val="center"/>
          </w:tcPr>
          <w:p w14:paraId="16E1A774">
            <w:pPr>
              <w:pStyle w:val="11"/>
              <w:jc w:val="center"/>
              <w:rPr>
                <w:highlight w:val="none"/>
              </w:rPr>
            </w:pPr>
            <w:r>
              <w:rPr>
                <w:spacing w:val="-2"/>
                <w:highlight w:val="none"/>
              </w:rPr>
              <w:t>一、</w:t>
            </w:r>
            <w:r>
              <w:rPr>
                <w:rFonts w:hint="eastAsia"/>
                <w:spacing w:val="-2"/>
                <w:highlight w:val="none"/>
                <w:lang w:eastAsia="zh-CN"/>
              </w:rPr>
              <w:t>招商</w:t>
            </w:r>
            <w:r>
              <w:rPr>
                <w:spacing w:val="-2"/>
                <w:highlight w:val="none"/>
              </w:rPr>
              <w:t>标的情况</w:t>
            </w:r>
          </w:p>
        </w:tc>
      </w:tr>
      <w:tr w14:paraId="09AE0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16" w:type="dxa"/>
            <w:noWrap w:val="0"/>
            <w:vAlign w:val="center"/>
          </w:tcPr>
          <w:p w14:paraId="1BFF1621">
            <w:pPr>
              <w:pStyle w:val="11"/>
              <w:jc w:val="center"/>
              <w:rPr>
                <w:highlight w:val="none"/>
              </w:rPr>
            </w:pPr>
            <w:r>
              <w:rPr>
                <w:rFonts w:hint="eastAsia"/>
                <w:spacing w:val="-8"/>
                <w:highlight w:val="none"/>
                <w:lang w:eastAsia="zh-CN"/>
              </w:rPr>
              <w:t>招商</w:t>
            </w:r>
            <w:r>
              <w:rPr>
                <w:spacing w:val="-8"/>
                <w:highlight w:val="none"/>
              </w:rPr>
              <w:t>标的</w:t>
            </w:r>
          </w:p>
        </w:tc>
        <w:tc>
          <w:tcPr>
            <w:tcW w:w="2043" w:type="dxa"/>
            <w:noWrap w:val="0"/>
            <w:vAlign w:val="center"/>
          </w:tcPr>
          <w:p w14:paraId="19742072">
            <w:pPr>
              <w:pStyle w:val="11"/>
              <w:spacing w:before="116"/>
              <w:ind w:left="113" w:right="45" w:firstLine="82"/>
              <w:jc w:val="center"/>
              <w:rPr>
                <w:highlight w:val="none"/>
              </w:rPr>
            </w:pPr>
            <w:r>
              <w:rPr>
                <w:spacing w:val="-5"/>
                <w:highlight w:val="none"/>
              </w:rPr>
              <w:t>面</w:t>
            </w:r>
            <w:r>
              <w:rPr>
                <w:spacing w:val="-8"/>
                <w:highlight w:val="none"/>
              </w:rPr>
              <w:t>积（㎡）</w:t>
            </w:r>
          </w:p>
        </w:tc>
        <w:tc>
          <w:tcPr>
            <w:tcW w:w="2244" w:type="dxa"/>
            <w:noWrap w:val="0"/>
            <w:vAlign w:val="center"/>
          </w:tcPr>
          <w:p w14:paraId="6AF2B453">
            <w:pPr>
              <w:pStyle w:val="11"/>
              <w:spacing w:before="116"/>
              <w:ind w:right="136"/>
              <w:jc w:val="center"/>
              <w:rPr>
                <w:rFonts w:hint="default"/>
                <w:highlight w:val="none"/>
                <w:lang w:val="en-US" w:eastAsia="zh-CN"/>
              </w:rPr>
            </w:pPr>
            <w:r>
              <w:rPr>
                <w:rFonts w:hint="eastAsia"/>
                <w:highlight w:val="none"/>
                <w:lang w:eastAsia="zh-CN"/>
              </w:rPr>
              <w:t>项目</w:t>
            </w:r>
            <w:r>
              <w:rPr>
                <w:rFonts w:hint="eastAsia"/>
                <w:highlight w:val="none"/>
                <w:lang w:val="en-US" w:eastAsia="zh-CN"/>
              </w:rPr>
              <w:t>底价</w:t>
            </w:r>
          </w:p>
          <w:p w14:paraId="43F18648">
            <w:pPr>
              <w:pStyle w:val="11"/>
              <w:spacing w:before="116"/>
              <w:ind w:right="136"/>
              <w:jc w:val="center"/>
              <w:rPr>
                <w:highlight w:val="none"/>
                <w:lang w:eastAsia="zh-CN"/>
              </w:rPr>
            </w:pPr>
            <w:r>
              <w:rPr>
                <w:spacing w:val="-7"/>
                <w:highlight w:val="none"/>
                <w:lang w:eastAsia="zh-CN"/>
              </w:rPr>
              <w:t>（万元/年）</w:t>
            </w:r>
          </w:p>
        </w:tc>
        <w:tc>
          <w:tcPr>
            <w:tcW w:w="1176" w:type="dxa"/>
            <w:noWrap w:val="0"/>
            <w:vAlign w:val="center"/>
          </w:tcPr>
          <w:p w14:paraId="40E8F3EE">
            <w:pPr>
              <w:pStyle w:val="11"/>
              <w:spacing w:before="116"/>
              <w:ind w:right="42"/>
              <w:jc w:val="center"/>
              <w:rPr>
                <w:snapToGrid w:val="0"/>
                <w:color w:val="000000"/>
                <w:kern w:val="0"/>
                <w:highlight w:val="none"/>
                <w:lang w:eastAsia="zh-CN"/>
              </w:rPr>
            </w:pPr>
            <w:r>
              <w:rPr>
                <w:rFonts w:hint="eastAsia"/>
                <w:snapToGrid w:val="0"/>
                <w:color w:val="000000"/>
                <w:kern w:val="0"/>
                <w:highlight w:val="none"/>
                <w:lang w:eastAsia="zh-CN"/>
              </w:rPr>
              <w:t>分成比例</w:t>
            </w:r>
          </w:p>
        </w:tc>
        <w:tc>
          <w:tcPr>
            <w:tcW w:w="1488" w:type="dxa"/>
            <w:noWrap w:val="0"/>
            <w:vAlign w:val="center"/>
          </w:tcPr>
          <w:p w14:paraId="1663AFFF">
            <w:pPr>
              <w:pStyle w:val="11"/>
              <w:spacing w:before="116"/>
              <w:ind w:right="42"/>
              <w:jc w:val="center"/>
              <w:rPr>
                <w:spacing w:val="-6"/>
                <w:highlight w:val="none"/>
                <w:lang w:eastAsia="zh-CN"/>
              </w:rPr>
            </w:pPr>
            <w:r>
              <w:rPr>
                <w:rFonts w:hint="eastAsia"/>
                <w:spacing w:val="-6"/>
                <w:highlight w:val="none"/>
                <w:lang w:eastAsia="zh-CN"/>
              </w:rPr>
              <w:t>合作期限</w:t>
            </w:r>
            <w:r>
              <w:rPr>
                <w:highlight w:val="none"/>
              </w:rPr>
              <w:t xml:space="preserve"> </w:t>
            </w:r>
            <w:r>
              <w:rPr>
                <w:spacing w:val="-14"/>
                <w:highlight w:val="none"/>
              </w:rPr>
              <w:t>（年）</w:t>
            </w:r>
          </w:p>
        </w:tc>
        <w:tc>
          <w:tcPr>
            <w:tcW w:w="1688" w:type="dxa"/>
            <w:noWrap w:val="0"/>
            <w:vAlign w:val="center"/>
          </w:tcPr>
          <w:p w14:paraId="50AD91CA">
            <w:pPr>
              <w:pStyle w:val="11"/>
              <w:spacing w:before="116"/>
              <w:ind w:left="119" w:right="10" w:firstLine="62"/>
              <w:jc w:val="center"/>
              <w:rPr>
                <w:highlight w:val="none"/>
              </w:rPr>
            </w:pPr>
            <w:r>
              <w:rPr>
                <w:rFonts w:hint="eastAsia"/>
                <w:spacing w:val="-4"/>
                <w:highlight w:val="none"/>
                <w:lang w:val="en-US" w:eastAsia="zh-CN"/>
              </w:rPr>
              <w:t>履约</w:t>
            </w:r>
            <w:r>
              <w:rPr>
                <w:spacing w:val="-4"/>
                <w:highlight w:val="none"/>
              </w:rPr>
              <w:t>保证</w:t>
            </w:r>
            <w:r>
              <w:rPr>
                <w:spacing w:val="-7"/>
                <w:highlight w:val="none"/>
              </w:rPr>
              <w:t>金（万元）</w:t>
            </w:r>
          </w:p>
        </w:tc>
      </w:tr>
      <w:tr w14:paraId="09012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16" w:type="dxa"/>
            <w:noWrap w:val="0"/>
            <w:vAlign w:val="center"/>
          </w:tcPr>
          <w:p w14:paraId="7C10374E">
            <w:pPr>
              <w:pStyle w:val="11"/>
              <w:spacing w:before="149"/>
              <w:jc w:val="center"/>
              <w:rPr>
                <w:color w:val="000000"/>
                <w:highlight w:val="none"/>
                <w:lang w:eastAsia="zh-CN"/>
              </w:rPr>
            </w:pPr>
            <w:r>
              <w:rPr>
                <w:rFonts w:hint="eastAsia"/>
                <w:spacing w:val="-8"/>
                <w:highlight w:val="none"/>
                <w:lang w:eastAsia="zh-CN"/>
              </w:rPr>
              <w:t>2个非固定</w:t>
            </w:r>
            <w:r>
              <w:rPr>
                <w:rFonts w:hint="eastAsia"/>
                <w:spacing w:val="-8"/>
                <w:highlight w:val="none"/>
                <w:lang w:val="en-US" w:eastAsia="zh-CN"/>
              </w:rPr>
              <w:t>经营</w:t>
            </w:r>
            <w:r>
              <w:rPr>
                <w:rFonts w:hint="eastAsia"/>
                <w:spacing w:val="-8"/>
                <w:highlight w:val="none"/>
                <w:lang w:eastAsia="zh-CN"/>
              </w:rPr>
              <w:t>点位</w:t>
            </w:r>
          </w:p>
        </w:tc>
        <w:tc>
          <w:tcPr>
            <w:tcW w:w="2043" w:type="dxa"/>
            <w:noWrap w:val="0"/>
            <w:vAlign w:val="center"/>
          </w:tcPr>
          <w:p w14:paraId="4AFDF3CA">
            <w:pPr>
              <w:pStyle w:val="11"/>
              <w:spacing w:before="78"/>
              <w:ind w:left="230"/>
              <w:rPr>
                <w:rFonts w:hint="eastAsia"/>
                <w:highlight w:val="none"/>
                <w:lang w:eastAsia="zh-CN"/>
              </w:rPr>
            </w:pPr>
            <w:r>
              <w:rPr>
                <w:rFonts w:hint="eastAsia"/>
                <w:highlight w:val="none"/>
                <w:lang w:eastAsia="zh-CN"/>
              </w:rPr>
              <w:t>2</w:t>
            </w:r>
            <w:r>
              <w:rPr>
                <w:spacing w:val="-8"/>
                <w:highlight w:val="none"/>
              </w:rPr>
              <w:t>㎡</w:t>
            </w:r>
            <w:r>
              <w:rPr>
                <w:rFonts w:hint="eastAsia"/>
                <w:spacing w:val="-8"/>
                <w:highlight w:val="none"/>
                <w:lang w:eastAsia="zh-CN"/>
              </w:rPr>
              <w:t>/个，共4㎡</w:t>
            </w:r>
          </w:p>
        </w:tc>
        <w:tc>
          <w:tcPr>
            <w:tcW w:w="2244" w:type="dxa"/>
            <w:noWrap w:val="0"/>
            <w:vAlign w:val="center"/>
          </w:tcPr>
          <w:p w14:paraId="4993F925">
            <w:pPr>
              <w:pStyle w:val="11"/>
              <w:jc w:val="center"/>
              <w:rPr>
                <w:rFonts w:hint="default"/>
                <w:highlight w:val="none"/>
                <w:lang w:val="en-US" w:eastAsia="zh-CN"/>
              </w:rPr>
            </w:pPr>
            <w:r>
              <w:rPr>
                <w:highlight w:val="none"/>
                <w:lang w:eastAsia="zh-CN"/>
              </w:rPr>
              <w:t>3</w:t>
            </w:r>
            <w:r>
              <w:rPr>
                <w:rFonts w:hint="eastAsia"/>
                <w:highlight w:val="none"/>
                <w:lang w:val="en-US" w:eastAsia="zh-CN"/>
              </w:rPr>
              <w:t>(</w:t>
            </w:r>
            <w:r>
              <w:rPr>
                <w:highlight w:val="none"/>
                <w:lang w:eastAsia="zh-CN"/>
              </w:rPr>
              <w:t>1.5</w:t>
            </w:r>
            <w:r>
              <w:rPr>
                <w:rFonts w:hint="eastAsia"/>
                <w:highlight w:val="none"/>
                <w:lang w:eastAsia="zh-CN"/>
              </w:rPr>
              <w:t>万元/年/个</w:t>
            </w:r>
            <w:r>
              <w:rPr>
                <w:rFonts w:hint="eastAsia"/>
                <w:highlight w:val="none"/>
                <w:lang w:val="en-US" w:eastAsia="zh-CN"/>
              </w:rPr>
              <w:t>)</w:t>
            </w:r>
          </w:p>
        </w:tc>
        <w:tc>
          <w:tcPr>
            <w:tcW w:w="1176" w:type="dxa"/>
            <w:noWrap w:val="0"/>
            <w:vAlign w:val="center"/>
          </w:tcPr>
          <w:p w14:paraId="0C07CA9B">
            <w:pPr>
              <w:pStyle w:val="11"/>
              <w:ind w:left="105" w:leftChars="50"/>
              <w:jc w:val="center"/>
              <w:rPr>
                <w:snapToGrid w:val="0"/>
                <w:color w:val="000000"/>
                <w:kern w:val="0"/>
                <w:highlight w:val="none"/>
                <w:lang w:eastAsia="zh-CN"/>
              </w:rPr>
            </w:pPr>
            <w:r>
              <w:rPr>
                <w:rFonts w:hint="eastAsia"/>
                <w:snapToGrid w:val="0"/>
                <w:color w:val="000000"/>
                <w:kern w:val="0"/>
                <w:highlight w:val="none"/>
                <w:lang w:eastAsia="zh-CN"/>
              </w:rPr>
              <w:t>≥</w:t>
            </w:r>
            <w:r>
              <w:rPr>
                <w:rFonts w:hint="eastAsia"/>
                <w:snapToGrid w:val="0"/>
                <w:color w:val="000000"/>
                <w:kern w:val="0"/>
                <w:highlight w:val="none"/>
                <w:lang w:val="en-US" w:eastAsia="zh-CN"/>
              </w:rPr>
              <w:t>25</w:t>
            </w:r>
            <w:r>
              <w:rPr>
                <w:rFonts w:hint="eastAsia"/>
                <w:snapToGrid w:val="0"/>
                <w:color w:val="000000"/>
                <w:kern w:val="0"/>
                <w:highlight w:val="none"/>
                <w:lang w:eastAsia="zh-CN"/>
              </w:rPr>
              <w:t>%</w:t>
            </w:r>
          </w:p>
        </w:tc>
        <w:tc>
          <w:tcPr>
            <w:tcW w:w="1488" w:type="dxa"/>
            <w:noWrap w:val="0"/>
            <w:vAlign w:val="center"/>
          </w:tcPr>
          <w:p w14:paraId="4A8BBDAF">
            <w:pPr>
              <w:pStyle w:val="11"/>
              <w:spacing w:before="78"/>
              <w:ind w:left="495"/>
              <w:rPr>
                <w:snapToGrid w:val="0"/>
                <w:color w:val="000000"/>
                <w:kern w:val="0"/>
                <w:highlight w:val="none"/>
                <w:lang w:eastAsia="zh-CN"/>
              </w:rPr>
            </w:pPr>
            <w:r>
              <w:rPr>
                <w:rFonts w:hint="eastAsia"/>
                <w:snapToGrid w:val="0"/>
                <w:color w:val="000000"/>
                <w:kern w:val="0"/>
                <w:highlight w:val="none"/>
                <w:lang w:eastAsia="zh-CN"/>
              </w:rPr>
              <w:t>1+1+1</w:t>
            </w:r>
          </w:p>
        </w:tc>
        <w:tc>
          <w:tcPr>
            <w:tcW w:w="1688" w:type="dxa"/>
            <w:noWrap w:val="0"/>
            <w:vAlign w:val="center"/>
          </w:tcPr>
          <w:p w14:paraId="1A0F5489">
            <w:pPr>
              <w:pStyle w:val="11"/>
              <w:spacing w:before="78"/>
              <w:jc w:val="center"/>
              <w:rPr>
                <w:highlight w:val="none"/>
                <w:lang w:eastAsia="zh-CN"/>
              </w:rPr>
            </w:pPr>
            <w:r>
              <w:rPr>
                <w:rFonts w:hint="eastAsia"/>
                <w:highlight w:val="none"/>
                <w:lang w:eastAsia="zh-CN"/>
              </w:rPr>
              <w:t>中标保底报价的25%</w:t>
            </w:r>
          </w:p>
        </w:tc>
      </w:tr>
      <w:tr w14:paraId="2DE45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trPr>
        <w:tc>
          <w:tcPr>
            <w:tcW w:w="10055" w:type="dxa"/>
            <w:gridSpan w:val="6"/>
            <w:noWrap w:val="0"/>
            <w:vAlign w:val="top"/>
          </w:tcPr>
          <w:p w14:paraId="2830B32E">
            <w:pPr>
              <w:pStyle w:val="11"/>
              <w:spacing w:before="48" w:beforeLines="20"/>
              <w:ind w:left="105" w:leftChars="50"/>
              <w:rPr>
                <w:rFonts w:hint="eastAsia"/>
                <w:spacing w:val="-3"/>
                <w:highlight w:val="none"/>
                <w:lang w:eastAsia="zh-CN"/>
              </w:rPr>
            </w:pPr>
            <w:r>
              <w:rPr>
                <w:rFonts w:hint="eastAsia"/>
                <w:spacing w:val="-3"/>
                <w:highlight w:val="none"/>
                <w:lang w:eastAsia="zh-CN"/>
              </w:rPr>
              <w:t>1.</w:t>
            </w:r>
            <w:r>
              <w:rPr>
                <w:spacing w:val="-3"/>
                <w:highlight w:val="none"/>
                <w:lang w:eastAsia="zh-CN"/>
              </w:rPr>
              <w:t>标的坐落位置：</w:t>
            </w:r>
            <w:r>
              <w:rPr>
                <w:rFonts w:hint="eastAsia"/>
                <w:spacing w:val="-3"/>
                <w:highlight w:val="none"/>
                <w:lang w:eastAsia="zh-CN"/>
              </w:rPr>
              <w:t>合肥市高新区望江西路600号合肥野生动物园内共计2个2㎡非固定经营点位（具体位置为</w:t>
            </w:r>
            <w:r>
              <w:rPr>
                <w:rFonts w:hint="eastAsia"/>
                <w:spacing w:val="-3"/>
                <w:highlight w:val="none"/>
                <w:lang w:val="en-US" w:eastAsia="zh-CN"/>
              </w:rPr>
              <w:t>南门内和百鸟园附近，后期可根据招商方要求进行调整</w:t>
            </w:r>
            <w:r>
              <w:rPr>
                <w:rFonts w:hint="eastAsia"/>
                <w:spacing w:val="-3"/>
                <w:highlight w:val="none"/>
                <w:lang w:eastAsia="zh-CN"/>
              </w:rPr>
              <w:t>）。</w:t>
            </w:r>
          </w:p>
          <w:p w14:paraId="509446D6">
            <w:pPr>
              <w:pStyle w:val="11"/>
              <w:ind w:left="105" w:leftChars="50"/>
              <w:rPr>
                <w:highlight w:val="none"/>
                <w:lang w:eastAsia="zh-CN"/>
              </w:rPr>
            </w:pPr>
            <w:r>
              <w:rPr>
                <w:rFonts w:hint="eastAsia"/>
                <w:spacing w:val="-3"/>
                <w:highlight w:val="none"/>
                <w:lang w:eastAsia="zh-CN"/>
              </w:rPr>
              <w:t>2.</w:t>
            </w:r>
            <w:r>
              <w:rPr>
                <w:spacing w:val="-3"/>
                <w:highlight w:val="none"/>
                <w:lang w:eastAsia="zh-CN"/>
              </w:rPr>
              <w:t>标的</w:t>
            </w:r>
            <w:r>
              <w:rPr>
                <w:spacing w:val="-2"/>
                <w:highlight w:val="none"/>
                <w:lang w:eastAsia="zh-CN"/>
              </w:rPr>
              <w:t>权属情况：</w:t>
            </w:r>
            <w:r>
              <w:rPr>
                <w:spacing w:val="-3"/>
                <w:highlight w:val="none"/>
                <w:lang w:eastAsia="zh-CN"/>
              </w:rPr>
              <w:t>标的面积仅供参考</w:t>
            </w:r>
            <w:r>
              <w:rPr>
                <w:rFonts w:hint="eastAsia"/>
                <w:spacing w:val="-3"/>
                <w:highlight w:val="none"/>
                <w:lang w:eastAsia="zh-CN"/>
              </w:rPr>
              <w:t>，招商</w:t>
            </w:r>
            <w:r>
              <w:rPr>
                <w:spacing w:val="-3"/>
                <w:highlight w:val="none"/>
                <w:lang w:eastAsia="zh-CN"/>
              </w:rPr>
              <w:t>标的无权属纠纷</w:t>
            </w:r>
            <w:r>
              <w:rPr>
                <w:spacing w:val="-2"/>
                <w:highlight w:val="none"/>
                <w:lang w:eastAsia="zh-CN"/>
              </w:rPr>
              <w:t>。</w:t>
            </w:r>
          </w:p>
        </w:tc>
      </w:tr>
      <w:tr w14:paraId="32C38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1416" w:type="dxa"/>
            <w:noWrap w:val="0"/>
            <w:vAlign w:val="center"/>
          </w:tcPr>
          <w:p w14:paraId="5BEF6089">
            <w:pPr>
              <w:pStyle w:val="11"/>
              <w:spacing w:before="78"/>
              <w:ind w:left="119" w:right="108"/>
              <w:jc w:val="center"/>
              <w:rPr>
                <w:highlight w:val="none"/>
              </w:rPr>
            </w:pPr>
            <w:r>
              <w:rPr>
                <w:rFonts w:hint="eastAsia"/>
                <w:spacing w:val="-3"/>
                <w:highlight w:val="none"/>
                <w:lang w:eastAsia="zh-CN"/>
              </w:rPr>
              <w:t>招商</w:t>
            </w:r>
            <w:r>
              <w:rPr>
                <w:spacing w:val="-3"/>
                <w:highlight w:val="none"/>
              </w:rPr>
              <w:t>用</w:t>
            </w:r>
            <w:r>
              <w:rPr>
                <w:spacing w:val="-4"/>
                <w:highlight w:val="none"/>
              </w:rPr>
              <w:t>途要求</w:t>
            </w:r>
          </w:p>
        </w:tc>
        <w:tc>
          <w:tcPr>
            <w:tcW w:w="8639" w:type="dxa"/>
            <w:gridSpan w:val="5"/>
            <w:noWrap w:val="0"/>
            <w:vAlign w:val="top"/>
          </w:tcPr>
          <w:p w14:paraId="1BDE5E26">
            <w:pPr>
              <w:pStyle w:val="11"/>
              <w:spacing w:before="48" w:beforeLines="20"/>
              <w:ind w:left="105" w:leftChars="50"/>
              <w:rPr>
                <w:spacing w:val="-3"/>
                <w:highlight w:val="none"/>
                <w:lang w:eastAsia="zh-CN"/>
              </w:rPr>
            </w:pPr>
            <w:r>
              <w:rPr>
                <w:spacing w:val="-3"/>
                <w:highlight w:val="none"/>
                <w:lang w:eastAsia="zh-CN"/>
              </w:rPr>
              <w:t>1.</w:t>
            </w:r>
            <w:r>
              <w:rPr>
                <w:rFonts w:hint="eastAsia"/>
                <w:spacing w:val="-3"/>
                <w:highlight w:val="none"/>
                <w:lang w:eastAsia="zh-CN"/>
              </w:rPr>
              <w:t>招商点位</w:t>
            </w:r>
            <w:r>
              <w:rPr>
                <w:spacing w:val="-3"/>
                <w:highlight w:val="none"/>
                <w:lang w:eastAsia="zh-CN"/>
              </w:rPr>
              <w:t>的用途为</w:t>
            </w:r>
            <w:r>
              <w:rPr>
                <w:rFonts w:hint="eastAsia"/>
                <w:spacing w:val="-3"/>
                <w:highlight w:val="none"/>
                <w:lang w:eastAsia="zh-CN"/>
              </w:rPr>
              <w:t>导览图、纪念票自助打印</w:t>
            </w:r>
            <w:r>
              <w:rPr>
                <w:rFonts w:hint="eastAsia"/>
                <w:color w:val="000000"/>
                <w:highlight w:val="none"/>
                <w:lang w:eastAsia="zh-CN"/>
              </w:rPr>
              <w:t>项目</w:t>
            </w:r>
            <w:r>
              <w:rPr>
                <w:rFonts w:hint="eastAsia"/>
                <w:spacing w:val="-3"/>
                <w:highlight w:val="none"/>
                <w:lang w:eastAsia="zh-CN"/>
              </w:rPr>
              <w:t>经营。</w:t>
            </w:r>
            <w:r>
              <w:rPr>
                <w:rFonts w:hint="eastAsia"/>
                <w:spacing w:val="-3"/>
                <w:highlight w:val="none"/>
                <w:lang w:val="en-US" w:eastAsia="zh-CN"/>
              </w:rPr>
              <w:t>机器</w:t>
            </w:r>
            <w:r>
              <w:rPr>
                <w:rFonts w:hint="eastAsia"/>
                <w:highlight w:val="none"/>
                <w:lang w:eastAsia="zh-CN"/>
              </w:rPr>
              <w:t>外观风格需与动物园风貌相协调，</w:t>
            </w:r>
            <w:r>
              <w:rPr>
                <w:rFonts w:hint="eastAsia"/>
                <w:highlight w:val="none"/>
                <w:lang w:val="en-US" w:eastAsia="zh-CN"/>
              </w:rPr>
              <w:t>合作方需</w:t>
            </w:r>
            <w:r>
              <w:rPr>
                <w:rFonts w:hint="eastAsia"/>
                <w:highlight w:val="none"/>
                <w:lang w:eastAsia="zh-CN"/>
              </w:rPr>
              <w:t>结合动物园现状综合确定设计风格，基本要求如下：</w:t>
            </w:r>
          </w:p>
          <w:p w14:paraId="0E7DF4A6">
            <w:pPr>
              <w:pStyle w:val="11"/>
              <w:ind w:left="105" w:leftChars="50"/>
              <w:rPr>
                <w:rFonts w:hint="eastAsia"/>
                <w:spacing w:val="-3"/>
                <w:highlight w:val="none"/>
                <w:lang w:eastAsia="zh-CN"/>
              </w:rPr>
            </w:pPr>
            <w:r>
              <w:rPr>
                <w:rFonts w:hint="eastAsia"/>
                <w:spacing w:val="-3"/>
                <w:highlight w:val="none"/>
                <w:lang w:eastAsia="zh-CN"/>
              </w:rPr>
              <w:t>1）招商方提供场地，合作方负责机器采购安装、产品设计及运营等全部事宜，合作方需具备较强的设计及产品运营能力，机器需与动物园风貌相协调，机器附近需自行配备消防设备且定期更换，点位合作方需</w:t>
            </w:r>
            <w:r>
              <w:rPr>
                <w:rFonts w:hint="eastAsia"/>
                <w:spacing w:val="-3"/>
                <w:highlight w:val="none"/>
                <w:lang w:val="en-US" w:eastAsia="zh-CN"/>
              </w:rPr>
              <w:t>在机器周围</w:t>
            </w:r>
            <w:r>
              <w:rPr>
                <w:rFonts w:hint="eastAsia"/>
                <w:spacing w:val="-3"/>
                <w:highlight w:val="none"/>
                <w:lang w:eastAsia="zh-CN"/>
              </w:rPr>
              <w:t>设立打卡点，设计方案需经招商方确认，打卡点位的后期维护维修均由合作方负责（打卡点面积不计入经营面积）。</w:t>
            </w:r>
          </w:p>
          <w:p w14:paraId="4974802C">
            <w:pPr>
              <w:pStyle w:val="11"/>
              <w:ind w:left="105" w:leftChars="50"/>
              <w:rPr>
                <w:rFonts w:hint="default"/>
                <w:spacing w:val="-3"/>
                <w:highlight w:val="none"/>
                <w:lang w:val="en-US" w:eastAsia="zh-CN"/>
              </w:rPr>
            </w:pPr>
            <w:r>
              <w:rPr>
                <w:rFonts w:hint="eastAsia"/>
                <w:spacing w:val="-3"/>
                <w:highlight w:val="none"/>
                <w:lang w:eastAsia="zh-CN"/>
              </w:rPr>
              <w:t>2）导览图设计需围绕动物园主题、动植物、自然风貌等元素，开发设计产品不少于</w:t>
            </w:r>
            <w:r>
              <w:rPr>
                <w:rFonts w:hint="eastAsia"/>
                <w:spacing w:val="-3"/>
                <w:highlight w:val="none"/>
                <w:lang w:val="en-US" w:eastAsia="zh-CN"/>
              </w:rPr>
              <w:t>2</w:t>
            </w:r>
            <w:r>
              <w:rPr>
                <w:rFonts w:hint="eastAsia"/>
                <w:spacing w:val="-3"/>
                <w:highlight w:val="none"/>
                <w:lang w:eastAsia="zh-CN"/>
              </w:rPr>
              <w:t>款彩色产品（</w:t>
            </w:r>
            <w:r>
              <w:rPr>
                <w:rFonts w:hint="eastAsia"/>
                <w:spacing w:val="-3"/>
                <w:highlight w:val="none"/>
                <w:lang w:val="en-US" w:eastAsia="zh-CN"/>
              </w:rPr>
              <w:t>导览图和纪念票各1款</w:t>
            </w:r>
            <w:r>
              <w:rPr>
                <w:rFonts w:hint="eastAsia"/>
                <w:spacing w:val="-3"/>
                <w:highlight w:val="none"/>
                <w:lang w:eastAsia="zh-CN"/>
              </w:rPr>
              <w:t>），</w:t>
            </w:r>
            <w:r>
              <w:rPr>
                <w:rFonts w:hint="eastAsia"/>
                <w:spacing w:val="-3"/>
                <w:highlight w:val="none"/>
                <w:lang w:val="en-US" w:eastAsia="zh-CN"/>
              </w:rPr>
              <w:t>并根据动物园场馆等变化及时调整产品（10个自然日内调整并审核完成）</w:t>
            </w:r>
            <w:r>
              <w:rPr>
                <w:rFonts w:hint="eastAsia"/>
                <w:spacing w:val="-3"/>
                <w:highlight w:val="none"/>
                <w:lang w:eastAsia="zh-CN"/>
              </w:rPr>
              <w:t>。</w:t>
            </w:r>
            <w:r>
              <w:rPr>
                <w:rFonts w:hint="eastAsia"/>
                <w:spacing w:val="-3"/>
                <w:highlight w:val="none"/>
                <w:lang w:val="en-US" w:eastAsia="zh-CN"/>
              </w:rPr>
              <w:t>合作方承诺为游客提供免费版园区导览图（A3版）和纪念票，所有产品设计方案均需招商方审核通过。</w:t>
            </w:r>
          </w:p>
          <w:p w14:paraId="354615CC">
            <w:pPr>
              <w:pStyle w:val="11"/>
              <w:ind w:left="105" w:leftChars="50"/>
              <w:rPr>
                <w:spacing w:val="-1"/>
                <w:highlight w:val="none"/>
                <w:lang w:eastAsia="zh-CN"/>
              </w:rPr>
            </w:pPr>
            <w:r>
              <w:rPr>
                <w:highlight w:val="none"/>
                <w:lang w:eastAsia="zh-CN"/>
              </w:rPr>
              <w:t>2.</w:t>
            </w:r>
            <w:r>
              <w:rPr>
                <w:rFonts w:hint="eastAsia"/>
                <w:highlight w:val="none"/>
                <w:lang w:eastAsia="zh-CN"/>
              </w:rPr>
              <w:t>合作方</w:t>
            </w:r>
            <w:r>
              <w:rPr>
                <w:highlight w:val="none"/>
                <w:lang w:eastAsia="zh-CN"/>
              </w:rPr>
              <w:t>使用上述</w:t>
            </w:r>
            <w:r>
              <w:rPr>
                <w:rFonts w:hint="eastAsia"/>
                <w:highlight w:val="none"/>
                <w:lang w:eastAsia="zh-CN"/>
              </w:rPr>
              <w:t>场地</w:t>
            </w:r>
            <w:r>
              <w:rPr>
                <w:highlight w:val="none"/>
                <w:lang w:eastAsia="zh-CN"/>
              </w:rPr>
              <w:t>必须符合相关法律法规</w:t>
            </w:r>
            <w:r>
              <w:rPr>
                <w:spacing w:val="-1"/>
                <w:highlight w:val="none"/>
                <w:lang w:eastAsia="zh-CN"/>
              </w:rPr>
              <w:t>要求，上述</w:t>
            </w:r>
            <w:r>
              <w:rPr>
                <w:rFonts w:hint="eastAsia"/>
                <w:spacing w:val="-1"/>
                <w:highlight w:val="none"/>
                <w:lang w:eastAsia="zh-CN"/>
              </w:rPr>
              <w:t>场地</w:t>
            </w:r>
            <w:r>
              <w:rPr>
                <w:spacing w:val="-1"/>
                <w:highlight w:val="none"/>
                <w:lang w:eastAsia="zh-CN"/>
              </w:rPr>
              <w:t>内均不得从事</w:t>
            </w:r>
            <w:r>
              <w:rPr>
                <w:rFonts w:hint="eastAsia"/>
                <w:spacing w:val="-1"/>
                <w:highlight w:val="none"/>
                <w:lang w:eastAsia="zh-CN"/>
              </w:rPr>
              <w:t>除</w:t>
            </w:r>
            <w:r>
              <w:rPr>
                <w:rFonts w:hint="eastAsia"/>
                <w:color w:val="000000"/>
                <w:highlight w:val="none"/>
                <w:lang w:eastAsia="zh-CN"/>
              </w:rPr>
              <w:t>导览图、纪念票自助打印</w:t>
            </w:r>
            <w:r>
              <w:rPr>
                <w:rFonts w:hint="eastAsia"/>
                <w:spacing w:val="-1"/>
                <w:highlight w:val="none"/>
                <w:lang w:eastAsia="zh-CN"/>
              </w:rPr>
              <w:t>之外的其他经营行为</w:t>
            </w:r>
            <w:r>
              <w:rPr>
                <w:spacing w:val="-3"/>
                <w:highlight w:val="none"/>
                <w:lang w:eastAsia="zh-CN"/>
              </w:rPr>
              <w:t>，</w:t>
            </w:r>
            <w:r>
              <w:rPr>
                <w:rFonts w:hint="eastAsia"/>
                <w:spacing w:val="-3"/>
                <w:highlight w:val="none"/>
                <w:lang w:eastAsia="zh-CN"/>
              </w:rPr>
              <w:t>场地</w:t>
            </w:r>
            <w:r>
              <w:rPr>
                <w:spacing w:val="-3"/>
                <w:highlight w:val="none"/>
                <w:lang w:eastAsia="zh-CN"/>
              </w:rPr>
              <w:t>不得使用</w:t>
            </w:r>
            <w:r>
              <w:rPr>
                <w:spacing w:val="-2"/>
                <w:highlight w:val="none"/>
                <w:lang w:eastAsia="zh-CN"/>
              </w:rPr>
              <w:t>明火、不得经营或存放化工类产品及易燃易爆</w:t>
            </w:r>
            <w:r>
              <w:rPr>
                <w:spacing w:val="-3"/>
                <w:highlight w:val="none"/>
                <w:lang w:eastAsia="zh-CN"/>
              </w:rPr>
              <w:t>有毒物品。如由此造成</w:t>
            </w:r>
            <w:r>
              <w:rPr>
                <w:rFonts w:hint="eastAsia"/>
                <w:spacing w:val="-3"/>
                <w:highlight w:val="none"/>
                <w:lang w:eastAsia="zh-CN"/>
              </w:rPr>
              <w:t>合作方</w:t>
            </w:r>
            <w:r>
              <w:rPr>
                <w:spacing w:val="-3"/>
                <w:highlight w:val="none"/>
                <w:lang w:eastAsia="zh-CN"/>
              </w:rPr>
              <w:t>不能</w:t>
            </w:r>
            <w:r>
              <w:rPr>
                <w:highlight w:val="none"/>
                <w:lang w:eastAsia="zh-CN"/>
              </w:rPr>
              <w:t>按预想的方案使用</w:t>
            </w:r>
            <w:r>
              <w:rPr>
                <w:rFonts w:hint="eastAsia"/>
                <w:highlight w:val="none"/>
                <w:lang w:eastAsia="zh-CN"/>
              </w:rPr>
              <w:t>场地</w:t>
            </w:r>
            <w:r>
              <w:rPr>
                <w:highlight w:val="none"/>
                <w:lang w:eastAsia="zh-CN"/>
              </w:rPr>
              <w:t>并导致合同不能</w:t>
            </w:r>
            <w:r>
              <w:rPr>
                <w:spacing w:val="-1"/>
                <w:highlight w:val="none"/>
                <w:lang w:eastAsia="zh-CN"/>
              </w:rPr>
              <w:t>履约的，责任由</w:t>
            </w:r>
            <w:r>
              <w:rPr>
                <w:rFonts w:hint="eastAsia"/>
                <w:spacing w:val="-1"/>
                <w:highlight w:val="none"/>
                <w:lang w:eastAsia="zh-CN"/>
              </w:rPr>
              <w:t>合作方</w:t>
            </w:r>
            <w:r>
              <w:rPr>
                <w:spacing w:val="-1"/>
                <w:highlight w:val="none"/>
                <w:lang w:eastAsia="zh-CN"/>
              </w:rPr>
              <w:t>承担。</w:t>
            </w:r>
          </w:p>
          <w:p w14:paraId="2C0CE66D">
            <w:pPr>
              <w:pStyle w:val="11"/>
              <w:ind w:left="105" w:leftChars="50"/>
              <w:rPr>
                <w:rFonts w:hint="eastAsia"/>
                <w:color w:val="000000"/>
                <w:highlight w:val="none"/>
                <w:lang w:eastAsia="zh-CN" w:bidi="zh-CN"/>
              </w:rPr>
            </w:pPr>
            <w:r>
              <w:rPr>
                <w:rFonts w:hint="eastAsia"/>
                <w:color w:val="000000"/>
                <w:highlight w:val="none"/>
                <w:lang w:eastAsia="zh-CN" w:bidi="zh-CN"/>
              </w:rPr>
              <w:t>3.合作方所有人员车辆进出应无条件服从招商方统一管理，并积极配合招商方各项工作。合作方在合作经营期间必须服从招商方的监督管理，合法经营，如不服从管理或违约时，招商方有权单方面终止合同，并要求合作方赔偿因此给招商方造成的一切经济损失。</w:t>
            </w:r>
          </w:p>
          <w:p w14:paraId="20830ECB">
            <w:pPr>
              <w:pStyle w:val="11"/>
              <w:ind w:left="105" w:leftChars="50"/>
              <w:rPr>
                <w:color w:val="000000"/>
                <w:highlight w:val="none"/>
                <w:lang w:eastAsia="zh-CN" w:bidi="zh-CN"/>
              </w:rPr>
            </w:pPr>
            <w:r>
              <w:rPr>
                <w:rFonts w:hint="eastAsia"/>
                <w:color w:val="000000"/>
                <w:highlight w:val="none"/>
                <w:lang w:eastAsia="zh-CN" w:bidi="zh-CN"/>
              </w:rPr>
              <w:t>4.</w:t>
            </w:r>
            <w:r>
              <w:rPr>
                <w:rFonts w:hint="eastAsia"/>
                <w:highlight w:val="none"/>
                <w:lang w:eastAsia="zh-CN" w:bidi="zh-CN"/>
              </w:rPr>
              <w:t>合作期间场地如遇政府部门要求拆迁（如土地征收、生态红线违规建设等原因）招商方有权解除合同，并不承担任何违约责任；如后期因招商方另有整体规划要求需要迁移原有经营点位，合作方需无条件服从并不得以此为由要求赔偿及减免保底价及分成。如遇园区后期有新的商业规划在点位附近设置新的业态或在其他点位设置相似业态项目，合作方不得以此为由要求减免保底价及分成。</w:t>
            </w:r>
          </w:p>
        </w:tc>
      </w:tr>
      <w:tr w14:paraId="53E3E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16" w:type="dxa"/>
            <w:noWrap w:val="0"/>
            <w:vAlign w:val="center"/>
          </w:tcPr>
          <w:p w14:paraId="422B27BC">
            <w:pPr>
              <w:pStyle w:val="11"/>
              <w:spacing w:before="78"/>
              <w:ind w:left="119"/>
              <w:jc w:val="center"/>
              <w:rPr>
                <w:highlight w:val="none"/>
                <w:lang w:eastAsia="zh-CN"/>
              </w:rPr>
            </w:pPr>
            <w:r>
              <w:rPr>
                <w:rFonts w:hint="eastAsia"/>
                <w:spacing w:val="-3"/>
                <w:position w:val="11"/>
                <w:highlight w:val="none"/>
                <w:lang w:eastAsia="zh-CN"/>
              </w:rPr>
              <w:t>合作经营分成款</w:t>
            </w:r>
            <w:r>
              <w:rPr>
                <w:spacing w:val="-3"/>
                <w:position w:val="11"/>
                <w:highlight w:val="none"/>
                <w:lang w:eastAsia="zh-CN"/>
              </w:rPr>
              <w:t>及履约</w:t>
            </w:r>
            <w:r>
              <w:rPr>
                <w:spacing w:val="-3"/>
                <w:highlight w:val="none"/>
                <w:lang w:eastAsia="zh-CN"/>
              </w:rPr>
              <w:t>保证金支付</w:t>
            </w:r>
          </w:p>
        </w:tc>
        <w:tc>
          <w:tcPr>
            <w:tcW w:w="8639" w:type="dxa"/>
            <w:gridSpan w:val="5"/>
            <w:noWrap w:val="0"/>
            <w:vAlign w:val="top"/>
          </w:tcPr>
          <w:p w14:paraId="44E1E790">
            <w:pPr>
              <w:pStyle w:val="11"/>
              <w:keepNext w:val="0"/>
              <w:keepLines w:val="0"/>
              <w:pageBreakBefore w:val="0"/>
              <w:widowControl w:val="0"/>
              <w:kinsoku/>
              <w:wordWrap/>
              <w:overflowPunct/>
              <w:topLinePunct w:val="0"/>
              <w:autoSpaceDE/>
              <w:autoSpaceDN/>
              <w:bidi w:val="0"/>
              <w:adjustRightInd/>
              <w:snapToGrid/>
              <w:spacing w:before="0" w:beforeLines="20" w:line="240" w:lineRule="auto"/>
              <w:ind w:left="105" w:leftChars="50"/>
              <w:textAlignment w:val="auto"/>
              <w:rPr>
                <w:rFonts w:hint="eastAsia"/>
                <w:spacing w:val="-3"/>
                <w:position w:val="11"/>
                <w:highlight w:val="none"/>
                <w:lang w:eastAsia="zh-CN"/>
              </w:rPr>
            </w:pPr>
            <w:r>
              <w:rPr>
                <w:spacing w:val="-3"/>
                <w:position w:val="11"/>
                <w:highlight w:val="none"/>
                <w:lang w:eastAsia="zh-CN"/>
              </w:rPr>
              <w:t>1.</w:t>
            </w:r>
            <w:r>
              <w:rPr>
                <w:rFonts w:hint="eastAsia"/>
                <w:spacing w:val="-3"/>
                <w:position w:val="11"/>
                <w:highlight w:val="none"/>
                <w:lang w:eastAsia="zh-CN"/>
              </w:rPr>
              <w:t>合作采用保底报价＋分成的模式。项目在运营期间产生的经营收入由合作方直接收取，合作方在合同签订后10个工作日内将首年保底报价转到招商方账户，以后每年保底报价在上一个合同年结束后10</w:t>
            </w:r>
            <w:r>
              <w:rPr>
                <w:rFonts w:hint="eastAsia"/>
                <w:spacing w:val="-3"/>
                <w:position w:val="11"/>
                <w:highlight w:val="none"/>
                <w:lang w:val="en-US" w:eastAsia="zh-CN"/>
              </w:rPr>
              <w:t>个工作</w:t>
            </w:r>
            <w:r>
              <w:rPr>
                <w:rFonts w:hint="eastAsia"/>
                <w:spacing w:val="-3"/>
                <w:position w:val="11"/>
                <w:highlight w:val="none"/>
                <w:lang w:eastAsia="zh-CN"/>
              </w:rPr>
              <w:t>日内转入。按季度进行预结算，在每个季度结束后1</w:t>
            </w:r>
            <w:r>
              <w:rPr>
                <w:rFonts w:hint="eastAsia"/>
                <w:spacing w:val="-3"/>
                <w:position w:val="11"/>
                <w:highlight w:val="none"/>
                <w:lang w:val="en-US" w:eastAsia="zh-CN"/>
              </w:rPr>
              <w:t>0个工作</w:t>
            </w:r>
            <w:r>
              <w:rPr>
                <w:rFonts w:hint="eastAsia"/>
                <w:spacing w:val="-3"/>
                <w:position w:val="11"/>
                <w:highlight w:val="none"/>
                <w:lang w:eastAsia="zh-CN"/>
              </w:rPr>
              <w:t>日内双方进行对账并形成确认单。</w:t>
            </w:r>
            <w:r>
              <w:rPr>
                <w:rFonts w:hint="eastAsia"/>
                <w:spacing w:val="-3"/>
                <w:position w:val="11"/>
                <w:highlight w:val="none"/>
                <w:lang w:val="en-US" w:eastAsia="zh-CN"/>
              </w:rPr>
              <w:t>每个合同年</w:t>
            </w:r>
            <w:r>
              <w:rPr>
                <w:rFonts w:hint="eastAsia"/>
                <w:spacing w:val="-3"/>
                <w:position w:val="11"/>
                <w:highlight w:val="none"/>
                <w:lang w:eastAsia="zh-CN"/>
              </w:rPr>
              <w:t>招商方分成总额≤保底报价时，招商方不再分成，营业款由合作方收取；招商方分成总额&gt;保底报价时，招商方按分成比例进行分成，超出保底报价的分成款合作方需在双方对账确认后10个工作日内转入招商方账户，</w:t>
            </w:r>
            <w:r>
              <w:rPr>
                <w:rFonts w:hint="eastAsia"/>
                <w:spacing w:val="-3"/>
                <w:position w:val="11"/>
                <w:highlight w:val="none"/>
                <w:lang w:val="en-US" w:eastAsia="zh-CN"/>
              </w:rPr>
              <w:t>如未转入招商方有权从合作方缴纳的履约保证金中扣除，扣除后合同终止。</w:t>
            </w:r>
            <w:r>
              <w:rPr>
                <w:rFonts w:hint="eastAsia"/>
                <w:spacing w:val="-3"/>
                <w:position w:val="11"/>
                <w:highlight w:val="none"/>
                <w:lang w:eastAsia="zh-CN"/>
              </w:rPr>
              <w:t>合作方应向招商方开放商家版管理后台查看权限，招商方收到分成款后，向合作方提供</w:t>
            </w:r>
            <w:r>
              <w:rPr>
                <w:rFonts w:hint="eastAsia"/>
                <w:spacing w:val="-3"/>
                <w:position w:val="11"/>
                <w:highlight w:val="none"/>
                <w:lang w:val="en-US" w:eastAsia="zh-CN"/>
              </w:rPr>
              <w:t>相应的合法合规增值税</w:t>
            </w:r>
            <w:r>
              <w:rPr>
                <w:rFonts w:hint="eastAsia"/>
                <w:spacing w:val="-3"/>
                <w:position w:val="11"/>
                <w:highlight w:val="none"/>
                <w:lang w:eastAsia="zh-CN"/>
              </w:rPr>
              <w:t>发票。合同期内最后一次打款需在双方对账无误后</w:t>
            </w:r>
            <w:r>
              <w:rPr>
                <w:rFonts w:hint="eastAsia"/>
                <w:spacing w:val="-3"/>
                <w:position w:val="11"/>
                <w:highlight w:val="none"/>
                <w:lang w:val="en-US" w:eastAsia="zh-CN"/>
              </w:rPr>
              <w:t>15</w:t>
            </w:r>
            <w:r>
              <w:rPr>
                <w:rFonts w:hint="eastAsia"/>
                <w:spacing w:val="-3"/>
                <w:position w:val="11"/>
                <w:highlight w:val="none"/>
                <w:lang w:eastAsia="zh-CN"/>
              </w:rPr>
              <w:t>个工作日内完成。</w:t>
            </w:r>
          </w:p>
          <w:p w14:paraId="5C0B8FA5">
            <w:pPr>
              <w:pStyle w:val="11"/>
              <w:spacing w:line="240" w:lineRule="auto"/>
              <w:ind w:left="105" w:leftChars="50"/>
              <w:rPr>
                <w:highlight w:val="none"/>
                <w:lang w:eastAsia="zh-CN"/>
              </w:rPr>
            </w:pPr>
            <w:r>
              <w:rPr>
                <w:spacing w:val="-1"/>
                <w:highlight w:val="none"/>
                <w:lang w:eastAsia="zh-CN"/>
              </w:rPr>
              <w:t>2.</w:t>
            </w:r>
            <w:r>
              <w:rPr>
                <w:rFonts w:hint="eastAsia"/>
                <w:spacing w:val="-1"/>
                <w:highlight w:val="none"/>
                <w:lang w:eastAsia="zh-CN"/>
              </w:rPr>
              <w:t>合作方</w:t>
            </w:r>
            <w:r>
              <w:rPr>
                <w:spacing w:val="-1"/>
                <w:highlight w:val="none"/>
                <w:lang w:eastAsia="zh-CN"/>
              </w:rPr>
              <w:t>应在《</w:t>
            </w:r>
            <w:r>
              <w:rPr>
                <w:rFonts w:hint="eastAsia"/>
                <w:spacing w:val="-1"/>
                <w:highlight w:val="none"/>
                <w:lang w:eastAsia="zh-CN"/>
              </w:rPr>
              <w:t>招商结果通知</w:t>
            </w:r>
            <w:r>
              <w:rPr>
                <w:spacing w:val="-1"/>
                <w:highlight w:val="none"/>
                <w:lang w:eastAsia="zh-CN"/>
              </w:rPr>
              <w:t>书》出具之日</w:t>
            </w:r>
            <w:r>
              <w:rPr>
                <w:rFonts w:hint="eastAsia"/>
                <w:spacing w:val="-4"/>
                <w:highlight w:val="none"/>
                <w:lang w:eastAsia="zh-CN"/>
              </w:rPr>
              <w:t>至</w:t>
            </w:r>
            <w:r>
              <w:rPr>
                <w:spacing w:val="-4"/>
                <w:highlight w:val="none"/>
                <w:lang w:eastAsia="zh-CN"/>
              </w:rPr>
              <w:t>合同签订前向</w:t>
            </w:r>
            <w:r>
              <w:rPr>
                <w:rFonts w:hint="eastAsia"/>
                <w:spacing w:val="-4"/>
                <w:highlight w:val="none"/>
                <w:lang w:eastAsia="zh-CN"/>
              </w:rPr>
              <w:t>招商方</w:t>
            </w:r>
            <w:r>
              <w:rPr>
                <w:spacing w:val="-4"/>
                <w:highlight w:val="none"/>
                <w:lang w:eastAsia="zh-CN"/>
              </w:rPr>
              <w:t>提交履约保证金</w:t>
            </w:r>
            <w:r>
              <w:rPr>
                <w:rFonts w:hint="eastAsia"/>
                <w:spacing w:val="-4"/>
                <w:highlight w:val="none"/>
                <w:lang w:eastAsia="zh-CN"/>
              </w:rPr>
              <w:t>。</w:t>
            </w:r>
          </w:p>
        </w:tc>
      </w:tr>
      <w:tr w14:paraId="4E948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0055" w:type="dxa"/>
            <w:gridSpan w:val="6"/>
            <w:tcBorders>
              <w:bottom w:val="single" w:color="auto" w:sz="4" w:space="0"/>
            </w:tcBorders>
            <w:noWrap w:val="0"/>
            <w:vAlign w:val="center"/>
          </w:tcPr>
          <w:p w14:paraId="74E7A743">
            <w:pPr>
              <w:pStyle w:val="11"/>
              <w:numPr>
                <w:ilvl w:val="0"/>
                <w:numId w:val="1"/>
              </w:numPr>
              <w:jc w:val="center"/>
              <w:rPr>
                <w:spacing w:val="-2"/>
                <w:highlight w:val="none"/>
                <w:lang w:eastAsia="zh-CN"/>
              </w:rPr>
            </w:pPr>
            <w:r>
              <w:rPr>
                <w:spacing w:val="-2"/>
                <w:highlight w:val="none"/>
                <w:lang w:eastAsia="zh-CN"/>
              </w:rPr>
              <w:t>对</w:t>
            </w:r>
            <w:r>
              <w:rPr>
                <w:rFonts w:hint="eastAsia"/>
                <w:spacing w:val="-2"/>
                <w:highlight w:val="none"/>
                <w:lang w:eastAsia="zh-CN"/>
              </w:rPr>
              <w:t>合作方</w:t>
            </w:r>
            <w:r>
              <w:rPr>
                <w:spacing w:val="-2"/>
                <w:highlight w:val="none"/>
                <w:lang w:eastAsia="zh-CN"/>
              </w:rPr>
              <w:t>资格的要求</w:t>
            </w:r>
            <w:r>
              <w:rPr>
                <w:rFonts w:hint="eastAsia"/>
                <w:spacing w:val="-2"/>
                <w:highlight w:val="none"/>
                <w:lang w:eastAsia="zh-CN"/>
              </w:rPr>
              <w:t>（初审资质）</w:t>
            </w:r>
          </w:p>
        </w:tc>
      </w:tr>
      <w:tr w14:paraId="31693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055" w:type="dxa"/>
            <w:gridSpan w:val="6"/>
            <w:tcBorders>
              <w:top w:val="single" w:color="auto" w:sz="4" w:space="0"/>
            </w:tcBorders>
            <w:noWrap w:val="0"/>
            <w:vAlign w:val="top"/>
          </w:tcPr>
          <w:p w14:paraId="32797322">
            <w:pPr>
              <w:spacing w:before="48" w:beforeLines="20"/>
              <w:ind w:left="105" w:leftChars="50"/>
              <w:rPr>
                <w:rFonts w:hint="eastAsia"/>
                <w:highlight w:val="none"/>
                <w:lang w:eastAsia="zh-CN"/>
              </w:rPr>
            </w:pPr>
            <w:r>
              <w:rPr>
                <w:rFonts w:hint="eastAsia" w:ascii="宋体" w:hAnsi="宋体" w:eastAsia="宋体" w:cs="宋体"/>
                <w:spacing w:val="-3"/>
                <w:kern w:val="2"/>
                <w:position w:val="11"/>
                <w:sz w:val="24"/>
                <w:szCs w:val="24"/>
                <w:highlight w:val="none"/>
                <w:lang w:val="en-US" w:eastAsia="zh-CN" w:bidi="ar-SA"/>
              </w:rPr>
              <w:t>自2022年1月1日以来（以合同签订时间为准）具有1个智慧导览图、纪念票自助打印经营业绩。</w:t>
            </w:r>
          </w:p>
        </w:tc>
      </w:tr>
      <w:tr w14:paraId="1047C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0055" w:type="dxa"/>
            <w:gridSpan w:val="6"/>
            <w:noWrap w:val="0"/>
            <w:vAlign w:val="center"/>
          </w:tcPr>
          <w:p w14:paraId="64553984">
            <w:pPr>
              <w:pStyle w:val="11"/>
              <w:jc w:val="center"/>
              <w:rPr>
                <w:highlight w:val="none"/>
              </w:rPr>
            </w:pPr>
            <w:r>
              <w:rPr>
                <w:spacing w:val="-2"/>
                <w:highlight w:val="none"/>
              </w:rPr>
              <w:t>三、</w:t>
            </w:r>
            <w:r>
              <w:rPr>
                <w:rFonts w:hint="eastAsia"/>
                <w:spacing w:val="-2"/>
                <w:highlight w:val="none"/>
                <w:lang w:eastAsia="zh-CN"/>
              </w:rPr>
              <w:t>招商</w:t>
            </w:r>
            <w:r>
              <w:rPr>
                <w:spacing w:val="-2"/>
                <w:highlight w:val="none"/>
              </w:rPr>
              <w:t>条件</w:t>
            </w:r>
          </w:p>
        </w:tc>
      </w:tr>
      <w:tr w14:paraId="7C7B9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trPr>
        <w:tc>
          <w:tcPr>
            <w:tcW w:w="10055" w:type="dxa"/>
            <w:gridSpan w:val="6"/>
            <w:noWrap w:val="0"/>
            <w:vAlign w:val="top"/>
          </w:tcPr>
          <w:p w14:paraId="4AD522F9">
            <w:pPr>
              <w:spacing w:before="48" w:beforeLines="20"/>
              <w:ind w:left="105" w:leftChars="50"/>
              <w:rPr>
                <w:rFonts w:hint="eastAsia" w:ascii="宋体" w:hAnsi="宋体" w:cs="宋体"/>
                <w:spacing w:val="-3"/>
                <w:position w:val="11"/>
                <w:sz w:val="24"/>
                <w:highlight w:val="none"/>
              </w:rPr>
            </w:pPr>
            <w:r>
              <w:rPr>
                <w:rFonts w:hint="eastAsia" w:ascii="宋体" w:hAnsi="宋体" w:cs="宋体"/>
                <w:spacing w:val="-3"/>
                <w:position w:val="11"/>
                <w:sz w:val="24"/>
                <w:highlight w:val="none"/>
              </w:rPr>
              <w:t>1.合作方在“国家企业信用信息公示系统”和“信用中国”中未有违规记录。</w:t>
            </w:r>
          </w:p>
          <w:p w14:paraId="04EB6BE9">
            <w:pPr>
              <w:pStyle w:val="11"/>
              <w:ind w:left="105" w:leftChars="50"/>
              <w:rPr>
                <w:rFonts w:hint="eastAsia"/>
                <w:spacing w:val="-3"/>
                <w:position w:val="11"/>
                <w:highlight w:val="none"/>
                <w:lang w:eastAsia="zh-CN"/>
              </w:rPr>
            </w:pPr>
            <w:r>
              <w:rPr>
                <w:rFonts w:hint="eastAsia"/>
                <w:spacing w:val="-3"/>
                <w:position w:val="11"/>
                <w:highlight w:val="none"/>
                <w:lang w:eastAsia="zh-CN"/>
              </w:rPr>
              <w:t>2.本项目不接受自然人(不包含个体工商户）及联合体报名及报价。</w:t>
            </w:r>
          </w:p>
          <w:p w14:paraId="315A5ECB">
            <w:pPr>
              <w:pStyle w:val="11"/>
              <w:ind w:left="105" w:leftChars="50"/>
              <w:rPr>
                <w:color w:val="000000"/>
                <w:highlight w:val="none"/>
                <w:lang w:eastAsia="zh-CN" w:bidi="zh-CN"/>
              </w:rPr>
            </w:pPr>
            <w:r>
              <w:rPr>
                <w:rFonts w:hint="eastAsia"/>
                <w:spacing w:val="-3"/>
                <w:position w:val="11"/>
                <w:highlight w:val="none"/>
                <w:lang w:eastAsia="zh-CN"/>
              </w:rPr>
              <w:t>3.合肥文旅博览集团野生动物园管理有限公司职工及其亲属不得参与此次招商。</w:t>
            </w:r>
          </w:p>
        </w:tc>
      </w:tr>
      <w:tr w14:paraId="26FBB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55" w:type="dxa"/>
            <w:gridSpan w:val="6"/>
            <w:noWrap w:val="0"/>
            <w:vAlign w:val="center"/>
          </w:tcPr>
          <w:p w14:paraId="498D836B">
            <w:pPr>
              <w:pStyle w:val="11"/>
              <w:jc w:val="center"/>
              <w:rPr>
                <w:rFonts w:hint="eastAsia"/>
                <w:color w:val="000000"/>
                <w:highlight w:val="none"/>
                <w:lang w:eastAsia="zh-CN" w:bidi="zh-CN"/>
              </w:rPr>
            </w:pPr>
            <w:r>
              <w:rPr>
                <w:rFonts w:hint="eastAsia"/>
                <w:color w:val="000000"/>
                <w:highlight w:val="none"/>
                <w:lang w:eastAsia="zh-CN"/>
              </w:rPr>
              <w:t>四</w:t>
            </w:r>
            <w:r>
              <w:rPr>
                <w:rFonts w:hint="eastAsia"/>
                <w:color w:val="000000"/>
                <w:highlight w:val="none"/>
              </w:rPr>
              <w:t>、</w:t>
            </w:r>
            <w:r>
              <w:rPr>
                <w:rFonts w:hint="eastAsia"/>
                <w:color w:val="000000"/>
                <w:highlight w:val="none"/>
                <w:lang w:eastAsia="zh-CN"/>
              </w:rPr>
              <w:t>合作</w:t>
            </w:r>
            <w:r>
              <w:rPr>
                <w:rFonts w:hint="eastAsia"/>
                <w:color w:val="000000"/>
                <w:highlight w:val="none"/>
              </w:rPr>
              <w:t>条件</w:t>
            </w:r>
          </w:p>
        </w:tc>
      </w:tr>
      <w:tr w14:paraId="19B2F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10055" w:type="dxa"/>
            <w:gridSpan w:val="6"/>
            <w:noWrap w:val="0"/>
            <w:vAlign w:val="top"/>
          </w:tcPr>
          <w:p w14:paraId="0C0D2424">
            <w:pPr>
              <w:pStyle w:val="11"/>
              <w:keepNext w:val="0"/>
              <w:keepLines w:val="0"/>
              <w:pageBreakBefore w:val="0"/>
              <w:widowControl w:val="0"/>
              <w:numPr>
                <w:ilvl w:val="0"/>
                <w:numId w:val="2"/>
              </w:numPr>
              <w:kinsoku/>
              <w:wordWrap/>
              <w:overflowPunct/>
              <w:topLinePunct w:val="0"/>
              <w:autoSpaceDE/>
              <w:autoSpaceDN/>
              <w:bidi w:val="0"/>
              <w:adjustRightInd/>
              <w:snapToGrid/>
              <w:spacing w:before="48" w:beforeLines="20"/>
              <w:ind w:left="105" w:leftChars="50"/>
              <w:textAlignment w:val="auto"/>
              <w:rPr>
                <w:rFonts w:hint="eastAsia"/>
                <w:spacing w:val="-1"/>
                <w:highlight w:val="none"/>
                <w:lang w:eastAsia="zh-CN"/>
              </w:rPr>
            </w:pPr>
            <w:r>
              <w:rPr>
                <w:rFonts w:hint="eastAsia"/>
                <w:spacing w:val="-1"/>
                <w:highlight w:val="none"/>
                <w:lang w:eastAsia="zh-CN"/>
              </w:rPr>
              <w:t>意向合作方应在本公告期截止前现场踏勘招商标的，就招商标的相关情况主动向招商方咨询，自行了解使用该场地可能涉及的相关法律法规及市政规定；完成报名的意向合作方都视同已实地踏勘招商标的，确认了标的位置、范围、面积和现状等并认可招商要求，自愿承担因上述原因导致的一切后果和法律责任。</w:t>
            </w:r>
          </w:p>
          <w:p w14:paraId="6E2EE625">
            <w:pPr>
              <w:pStyle w:val="11"/>
              <w:numPr>
                <w:ilvl w:val="0"/>
                <w:numId w:val="2"/>
              </w:numPr>
              <w:ind w:left="105" w:leftChars="50"/>
              <w:rPr>
                <w:rFonts w:hint="eastAsia"/>
                <w:spacing w:val="-1"/>
                <w:highlight w:val="none"/>
                <w:lang w:eastAsia="zh-CN"/>
              </w:rPr>
            </w:pPr>
            <w:r>
              <w:rPr>
                <w:rFonts w:hint="eastAsia"/>
                <w:spacing w:val="-1"/>
                <w:highlight w:val="none"/>
                <w:lang w:eastAsia="zh-CN"/>
              </w:rPr>
              <w:t>公告所列示的标的面积仅作参考，不作为确定合作经营分成款的依据，最终以标的实际面积为准。标的实际面积与本公告所列示面积不符的，不调整成交价格。面积之外的建筑物、附属物（如道路、绿化、空地、停车场等）均不在招商范围内，招商方不提供任何承诺及服务。</w:t>
            </w:r>
          </w:p>
          <w:p w14:paraId="6E204992">
            <w:pPr>
              <w:pStyle w:val="11"/>
              <w:numPr>
                <w:ilvl w:val="0"/>
                <w:numId w:val="2"/>
              </w:numPr>
              <w:ind w:left="105" w:leftChars="50"/>
              <w:rPr>
                <w:rFonts w:hint="eastAsia"/>
                <w:spacing w:val="-1"/>
                <w:highlight w:val="none"/>
                <w:lang w:eastAsia="zh-CN"/>
              </w:rPr>
            </w:pPr>
            <w:r>
              <w:rPr>
                <w:rFonts w:hint="eastAsia"/>
                <w:spacing w:val="-1"/>
                <w:highlight w:val="none"/>
                <w:lang w:eastAsia="zh-CN"/>
              </w:rPr>
              <w:t>合作方在合同履约期限内，不得转租。招商场地必须由合作方自主经营，未经招商方书面同意，不得以任何形式转租、分租、出借租赁场地及与他人合作经营，如有发生则招商方有权终止合作。</w:t>
            </w:r>
          </w:p>
          <w:p w14:paraId="74F59C68">
            <w:pPr>
              <w:numPr>
                <w:ilvl w:val="0"/>
                <w:numId w:val="2"/>
              </w:numPr>
              <w:ind w:left="105" w:leftChars="50"/>
              <w:rPr>
                <w:rFonts w:ascii="宋体" w:hAnsi="宋体" w:cs="宋体"/>
                <w:snapToGrid w:val="0"/>
                <w:color w:val="000000"/>
                <w:kern w:val="0"/>
                <w:sz w:val="24"/>
                <w:highlight w:val="none"/>
                <w:lang w:bidi="zh-CN"/>
              </w:rPr>
            </w:pPr>
            <w:r>
              <w:rPr>
                <w:rFonts w:hint="eastAsia" w:ascii="宋体" w:hAnsi="宋体" w:cs="宋体"/>
                <w:snapToGrid w:val="0"/>
                <w:color w:val="000000"/>
                <w:kern w:val="0"/>
                <w:sz w:val="24"/>
                <w:highlight w:val="none"/>
                <w:lang w:bidi="zh-CN"/>
              </w:rPr>
              <w:t>合同期内，合作方自行负责点位的日常安全管理工作并承担点位发生的通讯（网络）、水电、停车等相关费用。</w:t>
            </w:r>
          </w:p>
          <w:p w14:paraId="2C89DB9C">
            <w:pPr>
              <w:numPr>
                <w:ilvl w:val="0"/>
                <w:numId w:val="2"/>
              </w:numPr>
              <w:ind w:left="105" w:leftChars="50"/>
              <w:rPr>
                <w:rFonts w:hint="eastAsia" w:ascii="宋体" w:hAnsi="宋体" w:cs="宋体"/>
                <w:snapToGrid w:val="0"/>
                <w:color w:val="000000"/>
                <w:kern w:val="0"/>
                <w:sz w:val="24"/>
                <w:highlight w:val="none"/>
                <w:lang w:bidi="zh-CN"/>
              </w:rPr>
            </w:pPr>
            <w:r>
              <w:rPr>
                <w:rFonts w:hint="eastAsia" w:ascii="宋体" w:hAnsi="宋体" w:cs="宋体"/>
                <w:sz w:val="24"/>
                <w:highlight w:val="none"/>
              </w:rPr>
              <w:t>招商方仅提供场地并协调合作方设备落地过程中的接电等基础运营条件，费用由合作方自行承担。合作方须自行采购设备及设备安装接电所需的一切材料（电表自行安装）并负责设备日常运营管理及维护，确保设备的正常运行，及时做好产品设备补货、清洁、维修和售后服务工作。</w:t>
            </w:r>
            <w:r>
              <w:rPr>
                <w:rFonts w:hint="eastAsia" w:ascii="宋体" w:hAnsi="宋体" w:cs="宋体"/>
                <w:snapToGrid w:val="0"/>
                <w:color w:val="000000"/>
                <w:kern w:val="0"/>
                <w:sz w:val="24"/>
                <w:highlight w:val="none"/>
                <w:lang w:bidi="zh-CN"/>
              </w:rPr>
              <w:t>合作方需结合招商方统一商业规划要求，自行搭建项目运营所需的构筑物并进行装修、装潢，装修、装潢方案须经招商方同意后方可实行，且装修、装潢不得改动或破坏点位周围环境。如擅自改动或破坏点位周围环境，合作方应立即恢复原状，给招商方或第三人造成的损失应由合作方承担赔偿责任。点位的装修、装潢费用及合同期内点位的维修费用全部由合作方自行承担。</w:t>
            </w:r>
          </w:p>
          <w:p w14:paraId="5620732D">
            <w:pPr>
              <w:numPr>
                <w:ilvl w:val="0"/>
                <w:numId w:val="2"/>
              </w:numPr>
              <w:ind w:left="105" w:leftChars="50"/>
              <w:rPr>
                <w:rFonts w:hint="eastAsia" w:ascii="宋体" w:hAnsi="宋体" w:cs="宋体"/>
                <w:sz w:val="24"/>
                <w:highlight w:val="none"/>
              </w:rPr>
            </w:pPr>
            <w:r>
              <w:rPr>
                <w:rFonts w:hint="eastAsia" w:ascii="宋体" w:hAnsi="宋体" w:cs="宋体"/>
                <w:sz w:val="24"/>
                <w:highlight w:val="none"/>
              </w:rPr>
              <w:t>合作方须确保按照招商方的需求及时安全地放置设备，并确保产品的供应。合作方不得在未经招商方同意的情况下擅自移动或搬走机器设备。</w:t>
            </w:r>
          </w:p>
          <w:p w14:paraId="6AF22923">
            <w:pPr>
              <w:numPr>
                <w:ilvl w:val="0"/>
                <w:numId w:val="2"/>
              </w:numPr>
              <w:ind w:left="105" w:leftChars="50"/>
              <w:rPr>
                <w:rFonts w:hint="eastAsia" w:ascii="宋体" w:hAnsi="宋体" w:cs="宋体"/>
                <w:sz w:val="24"/>
                <w:highlight w:val="none"/>
              </w:rPr>
            </w:pPr>
            <w:r>
              <w:rPr>
                <w:rFonts w:hint="eastAsia" w:ascii="宋体" w:hAnsi="宋体" w:cs="宋体"/>
                <w:sz w:val="24"/>
                <w:highlight w:val="none"/>
              </w:rPr>
              <w:t>合作方须确保所提供设备安全(防火、防电、防盗、卫生、防毒等)，并进行有效的管理，招商方发现有漏水、漏电、未锁设备、存在火灾或卫生隐患等立即通知合作方整改。</w:t>
            </w:r>
          </w:p>
          <w:p w14:paraId="64FF5A4E">
            <w:pPr>
              <w:numPr>
                <w:ilvl w:val="0"/>
                <w:numId w:val="2"/>
              </w:numPr>
              <w:ind w:left="105" w:leftChars="50"/>
              <w:rPr>
                <w:rFonts w:ascii="宋体" w:hAnsi="宋体" w:cs="宋体"/>
                <w:sz w:val="24"/>
                <w:highlight w:val="none"/>
              </w:rPr>
            </w:pPr>
            <w:r>
              <w:rPr>
                <w:rFonts w:hint="eastAsia" w:ascii="宋体" w:hAnsi="宋体" w:cs="宋体"/>
                <w:sz w:val="24"/>
                <w:highlight w:val="none"/>
              </w:rPr>
              <w:t>合作方须确保所提供设备的正常工作。若设备出现故障合作方又不能在24小时内解决问题的，招商方有权要求合作方更换全新的设备;若连续30天内相同情况发生三次及以上(包括三次)，合约即告终止，依据</w:t>
            </w:r>
            <w:r>
              <w:rPr>
                <w:rFonts w:hint="eastAsia" w:ascii="宋体" w:hAnsi="宋体" w:cs="宋体"/>
                <w:sz w:val="24"/>
                <w:highlight w:val="none"/>
                <w:lang w:val="en-US" w:eastAsia="zh-CN"/>
              </w:rPr>
              <w:t>合作方</w:t>
            </w:r>
            <w:r>
              <w:rPr>
                <w:rFonts w:hint="eastAsia" w:ascii="宋体" w:hAnsi="宋体" w:cs="宋体"/>
                <w:sz w:val="24"/>
                <w:highlight w:val="none"/>
              </w:rPr>
              <w:t>违约执行。</w:t>
            </w:r>
          </w:p>
          <w:p w14:paraId="42FE89E8">
            <w:pPr>
              <w:numPr>
                <w:ilvl w:val="0"/>
                <w:numId w:val="2"/>
              </w:numPr>
              <w:ind w:left="105" w:leftChars="50"/>
              <w:rPr>
                <w:rFonts w:hint="eastAsia" w:ascii="宋体" w:hAnsi="宋体" w:cs="宋体"/>
                <w:sz w:val="24"/>
                <w:highlight w:val="none"/>
              </w:rPr>
            </w:pPr>
            <w:r>
              <w:rPr>
                <w:rFonts w:hint="eastAsia" w:ascii="宋体" w:hAnsi="宋体" w:cs="宋体"/>
                <w:sz w:val="24"/>
                <w:highlight w:val="none"/>
              </w:rPr>
              <w:t>合作方须确保所提供的设备美观大方，未经招商方允许不得在设备上作任何广告宣传，招商方发现有违反规定者并责令限期整改。</w:t>
            </w:r>
          </w:p>
          <w:p w14:paraId="3EA68D22">
            <w:pPr>
              <w:ind w:left="105" w:leftChars="50"/>
              <w:rPr>
                <w:rFonts w:hint="eastAsia" w:ascii="宋体" w:hAnsi="宋体" w:cs="宋体"/>
                <w:sz w:val="24"/>
                <w:highlight w:val="none"/>
              </w:rPr>
            </w:pPr>
            <w:r>
              <w:rPr>
                <w:rFonts w:hint="eastAsia" w:ascii="宋体" w:hAnsi="宋体" w:cs="宋体"/>
                <w:bCs/>
                <w:sz w:val="24"/>
                <w:highlight w:val="none"/>
              </w:rPr>
              <w:t>1</w:t>
            </w:r>
            <w:r>
              <w:rPr>
                <w:rFonts w:ascii="宋体" w:hAnsi="宋体" w:cs="宋体"/>
                <w:bCs/>
                <w:sz w:val="24"/>
                <w:highlight w:val="none"/>
              </w:rPr>
              <w:t>0.</w:t>
            </w:r>
            <w:r>
              <w:rPr>
                <w:rFonts w:hint="eastAsia" w:ascii="宋体" w:hAnsi="宋体" w:cs="宋体"/>
                <w:bCs/>
                <w:sz w:val="24"/>
                <w:highlight w:val="none"/>
              </w:rPr>
              <w:t>设备计费系统要求：</w:t>
            </w:r>
            <w:r>
              <w:rPr>
                <w:rFonts w:hint="eastAsia" w:ascii="宋体" w:hAnsi="宋体" w:cs="宋体"/>
                <w:sz w:val="24"/>
                <w:highlight w:val="none"/>
              </w:rPr>
              <w:t>售卖机智能运营系统采取移动支付方式（支付宝和微信等支付方式），合作方按时提供财务数据，保证各项系统数据真实有效。根据收益分成比例按季度结算，收款所产生的手续费由合作方承担。</w:t>
            </w:r>
          </w:p>
          <w:p w14:paraId="06286B2D">
            <w:pPr>
              <w:ind w:left="105" w:leftChars="50"/>
              <w:rPr>
                <w:rFonts w:hint="eastAsia" w:ascii="宋体" w:hAnsi="宋体" w:cs="宋体"/>
                <w:sz w:val="24"/>
                <w:highlight w:val="none"/>
              </w:rPr>
            </w:pPr>
            <w:r>
              <w:rPr>
                <w:rFonts w:hint="eastAsia" w:ascii="宋体" w:hAnsi="宋体" w:cs="宋体"/>
                <w:sz w:val="24"/>
                <w:highlight w:val="none"/>
              </w:rPr>
              <w:t>11.合同期内，合作方承担所有设备及材料的采购、安装、调试、检测、维保、人员费用、水电、通讯（网络）、安全职责等及与此相关的所有费用。按照招商方要求按期交纳水电费、停车等相关费用。</w:t>
            </w:r>
          </w:p>
          <w:p w14:paraId="77F66C84">
            <w:pPr>
              <w:ind w:left="105" w:leftChars="50"/>
              <w:rPr>
                <w:rFonts w:hint="eastAsia"/>
                <w:highlight w:val="none"/>
              </w:rPr>
            </w:pPr>
            <w:r>
              <w:rPr>
                <w:rFonts w:hint="eastAsia" w:ascii="宋体" w:hAnsi="宋体" w:cs="宋体"/>
                <w:snapToGrid w:val="0"/>
                <w:color w:val="000000"/>
                <w:kern w:val="0"/>
                <w:sz w:val="24"/>
                <w:highlight w:val="none"/>
                <w:lang w:bidi="zh-CN"/>
              </w:rPr>
              <w:t>1</w:t>
            </w:r>
            <w:r>
              <w:rPr>
                <w:rFonts w:ascii="宋体" w:hAnsi="宋体" w:cs="宋体"/>
                <w:snapToGrid w:val="0"/>
                <w:color w:val="000000"/>
                <w:kern w:val="0"/>
                <w:sz w:val="24"/>
                <w:highlight w:val="none"/>
                <w:lang w:bidi="zh-CN"/>
              </w:rPr>
              <w:t>2.</w:t>
            </w:r>
            <w:r>
              <w:rPr>
                <w:rFonts w:hint="eastAsia" w:ascii="宋体" w:hAnsi="宋体" w:cs="宋体"/>
                <w:snapToGrid w:val="0"/>
                <w:color w:val="000000"/>
                <w:kern w:val="0"/>
                <w:sz w:val="24"/>
                <w:highlight w:val="none"/>
                <w:lang w:bidi="zh-CN"/>
              </w:rPr>
              <w:t>合同期内，合作方不得以任何理由要求减免底价及分成比例。如因法律法规及市政规定需要拆除或改造点位而导致合同解除的，底价及分成款按照实际合作时间计算，不足整月的按实际天数计算，多退少补。如后期因招商方另有整体规划要求需要迁移，另选同等面积合作场地，合作方需无条件服从，底价和分成比例不变。</w:t>
            </w:r>
          </w:p>
          <w:p w14:paraId="5C5B6040">
            <w:pPr>
              <w:ind w:left="105" w:leftChars="50"/>
              <w:rPr>
                <w:rFonts w:hint="eastAsia" w:ascii="宋体" w:hAnsi="宋体" w:cs="宋体"/>
                <w:snapToGrid w:val="0"/>
                <w:color w:val="000000"/>
                <w:kern w:val="0"/>
                <w:sz w:val="24"/>
                <w:highlight w:val="none"/>
                <w:lang w:bidi="zh-CN"/>
              </w:rPr>
            </w:pPr>
            <w:r>
              <w:rPr>
                <w:rFonts w:hint="eastAsia" w:ascii="宋体" w:hAnsi="宋体" w:cs="宋体"/>
                <w:snapToGrid w:val="0"/>
                <w:color w:val="000000"/>
                <w:kern w:val="0"/>
                <w:sz w:val="24"/>
                <w:highlight w:val="none"/>
                <w:lang w:bidi="zh-CN"/>
              </w:rPr>
              <w:t>1</w:t>
            </w:r>
            <w:r>
              <w:rPr>
                <w:rFonts w:ascii="宋体" w:hAnsi="宋体" w:cs="宋体"/>
                <w:snapToGrid w:val="0"/>
                <w:color w:val="000000"/>
                <w:kern w:val="0"/>
                <w:sz w:val="24"/>
                <w:highlight w:val="none"/>
                <w:lang w:bidi="zh-CN"/>
              </w:rPr>
              <w:t>3.</w:t>
            </w:r>
            <w:r>
              <w:rPr>
                <w:rFonts w:hint="eastAsia" w:ascii="宋体" w:hAnsi="宋体" w:cs="宋体"/>
                <w:snapToGrid w:val="0"/>
                <w:color w:val="000000"/>
                <w:kern w:val="0"/>
                <w:sz w:val="24"/>
                <w:highlight w:val="none"/>
                <w:lang w:bidi="zh-CN"/>
              </w:rPr>
              <w:t>合同期满或终止时，合作方将场地恢复原状，将点位在3</w:t>
            </w:r>
            <w:r>
              <w:rPr>
                <w:rFonts w:hint="eastAsia" w:ascii="宋体" w:hAnsi="宋体" w:cs="宋体"/>
                <w:snapToGrid w:val="0"/>
                <w:color w:val="000000"/>
                <w:kern w:val="0"/>
                <w:sz w:val="24"/>
                <w:highlight w:val="none"/>
                <w:lang w:val="en-US" w:bidi="zh-CN"/>
              </w:rPr>
              <w:t>个工作</w:t>
            </w:r>
            <w:r>
              <w:rPr>
                <w:rFonts w:hint="eastAsia" w:ascii="宋体" w:hAnsi="宋体" w:cs="宋体"/>
                <w:snapToGrid w:val="0"/>
                <w:color w:val="000000"/>
                <w:kern w:val="0"/>
                <w:sz w:val="24"/>
                <w:highlight w:val="none"/>
                <w:lang w:bidi="zh-CN"/>
              </w:rPr>
              <w:t>日内交还招商方，并结清水、电等相关费用，且不得提出任何补偿要求。经招商方验收合格后，退还合作方履约保证金。</w:t>
            </w:r>
          </w:p>
          <w:p w14:paraId="65F25B73">
            <w:pPr>
              <w:ind w:left="105" w:leftChars="50"/>
              <w:rPr>
                <w:rFonts w:ascii="宋体" w:hAnsi="宋体" w:cs="宋体"/>
                <w:snapToGrid w:val="0"/>
                <w:color w:val="000000"/>
                <w:kern w:val="0"/>
                <w:sz w:val="24"/>
                <w:highlight w:val="none"/>
                <w:lang w:bidi="zh-CN"/>
              </w:rPr>
            </w:pPr>
            <w:r>
              <w:rPr>
                <w:rFonts w:hint="eastAsia" w:ascii="宋体" w:hAnsi="宋体" w:cs="宋体"/>
                <w:snapToGrid w:val="0"/>
                <w:color w:val="000000"/>
                <w:kern w:val="0"/>
                <w:sz w:val="24"/>
                <w:highlight w:val="none"/>
                <w:lang w:bidi="zh-CN"/>
              </w:rPr>
              <w:t>1</w:t>
            </w:r>
            <w:r>
              <w:rPr>
                <w:rFonts w:ascii="宋体" w:hAnsi="宋体" w:cs="宋体"/>
                <w:snapToGrid w:val="0"/>
                <w:color w:val="000000"/>
                <w:kern w:val="0"/>
                <w:sz w:val="24"/>
                <w:highlight w:val="none"/>
                <w:lang w:bidi="zh-CN"/>
              </w:rPr>
              <w:t>4.</w:t>
            </w:r>
            <w:r>
              <w:rPr>
                <w:rFonts w:hint="eastAsia" w:ascii="宋体" w:hAnsi="宋体" w:cs="宋体"/>
                <w:snapToGrid w:val="0"/>
                <w:color w:val="000000"/>
                <w:kern w:val="0"/>
                <w:sz w:val="24"/>
                <w:highlight w:val="none"/>
                <w:lang w:bidi="zh-CN"/>
              </w:rPr>
              <w:t>合作方应在《招商结果通知书》发出之日起7个工作日内与招商方签订《合肥野生动物园导览图、纪念票自助打印项目合作经营合同》。</w:t>
            </w:r>
          </w:p>
          <w:p w14:paraId="532BEA90">
            <w:pPr>
              <w:ind w:left="105" w:leftChars="50"/>
              <w:rPr>
                <w:rFonts w:ascii="宋体" w:hAnsi="宋体" w:cs="宋体"/>
                <w:snapToGrid w:val="0"/>
                <w:color w:val="000000"/>
                <w:kern w:val="0"/>
                <w:sz w:val="24"/>
                <w:highlight w:val="none"/>
                <w:lang w:bidi="zh-CN"/>
              </w:rPr>
            </w:pPr>
            <w:r>
              <w:rPr>
                <w:rFonts w:hint="eastAsia" w:ascii="宋体" w:hAnsi="宋体" w:cs="宋体"/>
                <w:snapToGrid w:val="0"/>
                <w:color w:val="000000"/>
                <w:kern w:val="0"/>
                <w:sz w:val="24"/>
                <w:highlight w:val="none"/>
                <w:lang w:bidi="zh-CN"/>
              </w:rPr>
              <w:t>15</w:t>
            </w:r>
            <w:r>
              <w:rPr>
                <w:rFonts w:ascii="宋体" w:hAnsi="宋体" w:cs="宋体"/>
                <w:snapToGrid w:val="0"/>
                <w:color w:val="000000"/>
                <w:kern w:val="0"/>
                <w:sz w:val="24"/>
                <w:highlight w:val="none"/>
                <w:lang w:bidi="zh-CN"/>
              </w:rPr>
              <w:t>.</w:t>
            </w:r>
            <w:r>
              <w:rPr>
                <w:rFonts w:hint="eastAsia" w:ascii="宋体" w:hAnsi="宋体" w:cs="宋体"/>
                <w:snapToGrid w:val="0"/>
                <w:color w:val="000000"/>
                <w:kern w:val="0"/>
                <w:sz w:val="24"/>
                <w:highlight w:val="none"/>
                <w:lang w:bidi="zh-CN"/>
              </w:rPr>
              <w:t>其他未尽事宜详见本公告附件《合肥野生动物园导览图、纪念票自助打印项目合作经营合同》。</w:t>
            </w:r>
          </w:p>
          <w:p w14:paraId="3422DBD2">
            <w:pPr>
              <w:ind w:left="105" w:leftChars="50"/>
              <w:rPr>
                <w:rFonts w:hint="eastAsia" w:ascii="宋体" w:hAnsi="宋体" w:cs="宋体"/>
                <w:snapToGrid w:val="0"/>
                <w:color w:val="000000"/>
                <w:kern w:val="0"/>
                <w:sz w:val="24"/>
                <w:highlight w:val="none"/>
                <w:lang w:bidi="zh-CN"/>
              </w:rPr>
            </w:pPr>
            <w:r>
              <w:rPr>
                <w:rFonts w:hint="eastAsia" w:cs="宋体"/>
                <w:spacing w:val="-1"/>
                <w:sz w:val="24"/>
                <w:highlight w:val="none"/>
              </w:rPr>
              <w:t>特别说明：</w:t>
            </w:r>
          </w:p>
          <w:p w14:paraId="192F92C0">
            <w:pPr>
              <w:pStyle w:val="11"/>
              <w:kinsoku w:val="0"/>
              <w:autoSpaceDE w:val="0"/>
              <w:autoSpaceDN w:val="0"/>
              <w:ind w:left="105" w:leftChars="50"/>
              <w:textAlignment w:val="baseline"/>
              <w:rPr>
                <w:highlight w:val="none"/>
                <w:lang w:eastAsia="zh-CN"/>
              </w:rPr>
            </w:pPr>
            <w:r>
              <w:rPr>
                <w:rFonts w:hint="eastAsia"/>
                <w:color w:val="000000"/>
                <w:highlight w:val="none"/>
                <w:lang w:eastAsia="zh-CN"/>
              </w:rPr>
              <w:t>16</w:t>
            </w:r>
            <w:r>
              <w:rPr>
                <w:color w:val="000000"/>
                <w:highlight w:val="none"/>
                <w:lang w:eastAsia="zh-CN"/>
              </w:rPr>
              <w:t>.</w:t>
            </w:r>
            <w:r>
              <w:rPr>
                <w:rFonts w:hint="eastAsia"/>
                <w:color w:val="000000"/>
                <w:highlight w:val="none"/>
                <w:lang w:eastAsia="zh-CN"/>
              </w:rPr>
              <w:t>合作方需自行评估参与本次招商的预期风险及收益，参与合肥文旅博览集团野生动物园管理有限公司招商视作认可合肥文旅博览集团野生动物园管理有限公司招商相关要求及规定，本招商公告最终解释权归合肥文旅博览集团野生动物园管理有限公司所有。</w:t>
            </w:r>
          </w:p>
        </w:tc>
      </w:tr>
    </w:tbl>
    <w:p w14:paraId="4D233A1B">
      <w:pPr>
        <w:rPr>
          <w:vanish/>
          <w:highlight w:val="none"/>
        </w:rPr>
      </w:pPr>
    </w:p>
    <w:tbl>
      <w:tblPr>
        <w:tblStyle w:val="8"/>
        <w:tblW w:w="10058"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8"/>
      </w:tblGrid>
      <w:tr w14:paraId="0ADCA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0058" w:type="dxa"/>
            <w:noWrap w:val="0"/>
            <w:vAlign w:val="center"/>
          </w:tcPr>
          <w:p w14:paraId="4CAB30C9">
            <w:pPr>
              <w:pStyle w:val="12"/>
              <w:ind w:left="0"/>
              <w:jc w:val="center"/>
              <w:rPr>
                <w:rFonts w:hint="eastAsia"/>
                <w:color w:val="000000"/>
                <w:sz w:val="24"/>
                <w:highlight w:val="none"/>
              </w:rPr>
            </w:pPr>
            <w:r>
              <w:rPr>
                <w:rFonts w:hint="eastAsia"/>
                <w:color w:val="000000"/>
                <w:sz w:val="24"/>
                <w:highlight w:val="none"/>
              </w:rPr>
              <w:t>五、</w:t>
            </w:r>
            <w:r>
              <w:rPr>
                <w:rFonts w:hint="eastAsia"/>
                <w:color w:val="000000"/>
                <w:sz w:val="24"/>
                <w:highlight w:val="none"/>
                <w:lang w:val="en-US"/>
              </w:rPr>
              <w:t>合作</w:t>
            </w:r>
            <w:r>
              <w:rPr>
                <w:rFonts w:hint="eastAsia"/>
                <w:color w:val="000000"/>
                <w:sz w:val="24"/>
                <w:highlight w:val="none"/>
              </w:rPr>
              <w:t>方确定方式</w:t>
            </w:r>
          </w:p>
        </w:tc>
      </w:tr>
      <w:tr w14:paraId="62A3E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8" w:hRule="atLeast"/>
        </w:trPr>
        <w:tc>
          <w:tcPr>
            <w:tcW w:w="10058" w:type="dxa"/>
            <w:noWrap w:val="0"/>
            <w:vAlign w:val="top"/>
          </w:tcPr>
          <w:p w14:paraId="5BFCC77F">
            <w:pPr>
              <w:pStyle w:val="11"/>
              <w:kinsoku w:val="0"/>
              <w:autoSpaceDE w:val="0"/>
              <w:autoSpaceDN w:val="0"/>
              <w:adjustRightInd w:val="0"/>
              <w:snapToGrid w:val="0"/>
              <w:spacing w:before="115"/>
              <w:ind w:right="70" w:firstLine="480" w:firstLineChars="200"/>
              <w:jc w:val="left"/>
              <w:textAlignment w:val="baseline"/>
              <w:rPr>
                <w:color w:val="000000"/>
                <w:highlight w:val="none"/>
                <w:lang w:eastAsia="zh-CN"/>
              </w:rPr>
            </w:pPr>
            <w:r>
              <w:rPr>
                <w:rFonts w:hint="eastAsia"/>
                <w:color w:val="000000"/>
                <w:highlight w:val="none"/>
                <w:lang w:eastAsia="zh-CN"/>
              </w:rPr>
              <w:t>本项目采用综合评分法。得分最高者确定为本项目最终合作方。如此次招商所有合作方综合得分均低于60分，则本次招商无效。</w:t>
            </w:r>
          </w:p>
          <w:tbl>
            <w:tblPr>
              <w:tblStyle w:val="8"/>
              <w:tblW w:w="10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185"/>
              <w:gridCol w:w="6817"/>
              <w:gridCol w:w="1052"/>
            </w:tblGrid>
            <w:tr w14:paraId="6DE7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069" w:type="dxa"/>
                  <w:gridSpan w:val="4"/>
                  <w:noWrap w:val="0"/>
                  <w:vAlign w:val="center"/>
                </w:tcPr>
                <w:p w14:paraId="277E1B37">
                  <w:pPr>
                    <w:adjustRightInd w:val="0"/>
                    <w:snapToGrid w:val="0"/>
                    <w:ind w:left="105" w:leftChars="50"/>
                    <w:jc w:val="center"/>
                    <w:rPr>
                      <w:rFonts w:hint="eastAsia" w:ascii="宋体" w:hAnsi="宋体" w:cs="宋体"/>
                      <w:b/>
                      <w:bCs/>
                      <w:color w:val="000000"/>
                      <w:sz w:val="24"/>
                      <w:highlight w:val="none"/>
                    </w:rPr>
                  </w:pPr>
                  <w:r>
                    <w:rPr>
                      <w:rFonts w:hint="eastAsia" w:ascii="宋体" w:hAnsi="宋体" w:cs="宋体"/>
                      <w:b/>
                      <w:bCs/>
                      <w:color w:val="000000"/>
                      <w:sz w:val="24"/>
                      <w:highlight w:val="none"/>
                    </w:rPr>
                    <w:t>商务、技术部分详细评审表</w:t>
                  </w:r>
                </w:p>
              </w:tc>
            </w:tr>
            <w:tr w14:paraId="394F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 w:type="dxa"/>
                  <w:noWrap w:val="0"/>
                  <w:vAlign w:val="center"/>
                </w:tcPr>
                <w:p w14:paraId="7E28D184">
                  <w:pPr>
                    <w:adjustRightInd w:val="0"/>
                    <w:snapToGrid w:val="0"/>
                    <w:ind w:left="105" w:leftChars="50"/>
                    <w:jc w:val="center"/>
                    <w:rPr>
                      <w:rFonts w:hint="eastAsia" w:ascii="宋体" w:hAnsi="宋体" w:cs="宋体"/>
                      <w:bCs/>
                      <w:color w:val="000000"/>
                      <w:sz w:val="24"/>
                      <w:highlight w:val="none"/>
                    </w:rPr>
                  </w:pPr>
                  <w:r>
                    <w:rPr>
                      <w:rFonts w:hint="eastAsia" w:ascii="宋体" w:hAnsi="宋体" w:cs="宋体"/>
                      <w:bCs/>
                      <w:color w:val="000000"/>
                      <w:sz w:val="24"/>
                      <w:highlight w:val="none"/>
                    </w:rPr>
                    <w:t>序号</w:t>
                  </w:r>
                </w:p>
              </w:tc>
              <w:tc>
                <w:tcPr>
                  <w:tcW w:w="1185" w:type="dxa"/>
                  <w:noWrap w:val="0"/>
                  <w:vAlign w:val="center"/>
                </w:tcPr>
                <w:p w14:paraId="5863F96B">
                  <w:pPr>
                    <w:adjustRightInd w:val="0"/>
                    <w:snapToGrid w:val="0"/>
                    <w:ind w:left="105" w:leftChars="50"/>
                    <w:jc w:val="center"/>
                    <w:rPr>
                      <w:rFonts w:hint="eastAsia" w:ascii="宋体" w:hAnsi="宋体" w:cs="宋体"/>
                      <w:bCs/>
                      <w:color w:val="000000"/>
                      <w:sz w:val="24"/>
                      <w:highlight w:val="none"/>
                    </w:rPr>
                  </w:pPr>
                  <w:r>
                    <w:rPr>
                      <w:rFonts w:hint="eastAsia" w:ascii="宋体" w:hAnsi="宋体" w:cs="宋体"/>
                      <w:bCs/>
                      <w:color w:val="000000"/>
                      <w:sz w:val="24"/>
                      <w:highlight w:val="none"/>
                    </w:rPr>
                    <w:t>指标</w:t>
                  </w:r>
                </w:p>
              </w:tc>
              <w:tc>
                <w:tcPr>
                  <w:tcW w:w="6817" w:type="dxa"/>
                  <w:noWrap w:val="0"/>
                  <w:vAlign w:val="center"/>
                </w:tcPr>
                <w:p w14:paraId="1954A00E">
                  <w:pPr>
                    <w:adjustRightInd w:val="0"/>
                    <w:snapToGrid w:val="0"/>
                    <w:ind w:left="105" w:leftChars="50"/>
                    <w:jc w:val="center"/>
                    <w:rPr>
                      <w:rFonts w:hint="eastAsia" w:ascii="宋体" w:hAnsi="宋体" w:cs="宋体"/>
                      <w:bCs/>
                      <w:color w:val="000000"/>
                      <w:sz w:val="24"/>
                      <w:highlight w:val="none"/>
                    </w:rPr>
                  </w:pPr>
                  <w:r>
                    <w:rPr>
                      <w:rFonts w:hint="eastAsia" w:ascii="宋体" w:hAnsi="宋体" w:cs="宋体"/>
                      <w:bCs/>
                      <w:color w:val="000000"/>
                      <w:sz w:val="24"/>
                      <w:highlight w:val="none"/>
                    </w:rPr>
                    <w:t>指标描述</w:t>
                  </w:r>
                </w:p>
              </w:tc>
              <w:tc>
                <w:tcPr>
                  <w:tcW w:w="1052" w:type="dxa"/>
                  <w:noWrap w:val="0"/>
                  <w:vAlign w:val="center"/>
                </w:tcPr>
                <w:p w14:paraId="55BA4883">
                  <w:pPr>
                    <w:adjustRightInd w:val="0"/>
                    <w:snapToGrid w:val="0"/>
                    <w:ind w:left="105" w:leftChars="50"/>
                    <w:jc w:val="center"/>
                    <w:rPr>
                      <w:rFonts w:hint="eastAsia" w:ascii="宋体" w:hAnsi="宋体" w:cs="宋体"/>
                      <w:bCs/>
                      <w:color w:val="000000"/>
                      <w:sz w:val="24"/>
                      <w:highlight w:val="none"/>
                    </w:rPr>
                  </w:pPr>
                  <w:r>
                    <w:rPr>
                      <w:rFonts w:hint="eastAsia" w:ascii="宋体" w:hAnsi="宋体" w:cs="宋体"/>
                      <w:bCs/>
                      <w:color w:val="000000"/>
                      <w:sz w:val="24"/>
                      <w:highlight w:val="none"/>
                    </w:rPr>
                    <w:t>分值  范围</w:t>
                  </w:r>
                </w:p>
              </w:tc>
            </w:tr>
            <w:tr w14:paraId="55C3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15" w:type="dxa"/>
                  <w:noWrap w:val="0"/>
                  <w:vAlign w:val="center"/>
                </w:tcPr>
                <w:p w14:paraId="506DB288">
                  <w:pPr>
                    <w:adjustRightInd w:val="0"/>
                    <w:snapToGrid w:val="0"/>
                    <w:ind w:left="105" w:leftChars="50"/>
                    <w:jc w:val="center"/>
                    <w:rPr>
                      <w:rFonts w:ascii="宋体" w:hAnsi="宋体" w:cs="宋体"/>
                      <w:bCs/>
                      <w:color w:val="000000"/>
                      <w:sz w:val="24"/>
                      <w:highlight w:val="none"/>
                    </w:rPr>
                  </w:pPr>
                  <w:r>
                    <w:rPr>
                      <w:rFonts w:hint="eastAsia" w:ascii="宋体" w:hAnsi="宋体" w:cs="宋体"/>
                      <w:bCs/>
                      <w:color w:val="000000"/>
                      <w:sz w:val="24"/>
                      <w:highlight w:val="none"/>
                    </w:rPr>
                    <w:t>1</w:t>
                  </w:r>
                </w:p>
              </w:tc>
              <w:tc>
                <w:tcPr>
                  <w:tcW w:w="1185" w:type="dxa"/>
                  <w:noWrap w:val="0"/>
                  <w:vAlign w:val="center"/>
                </w:tcPr>
                <w:p w14:paraId="3892BBCE">
                  <w:pPr>
                    <w:widowControl/>
                    <w:adjustRightInd w:val="0"/>
                    <w:snapToGrid w:val="0"/>
                    <w:ind w:left="105" w:leftChars="50"/>
                    <w:jc w:val="center"/>
                    <w:rPr>
                      <w:rFonts w:ascii="宋体" w:hAnsi="宋体"/>
                      <w:color w:val="000000"/>
                      <w:spacing w:val="3"/>
                      <w:sz w:val="24"/>
                      <w:highlight w:val="none"/>
                    </w:rPr>
                  </w:pPr>
                  <w:r>
                    <w:rPr>
                      <w:rFonts w:hint="eastAsia" w:ascii="宋体" w:hAnsi="宋体"/>
                      <w:color w:val="000000"/>
                      <w:spacing w:val="3"/>
                      <w:sz w:val="24"/>
                      <w:highlight w:val="none"/>
                    </w:rPr>
                    <w:t>合作方业绩</w:t>
                  </w:r>
                </w:p>
              </w:tc>
              <w:tc>
                <w:tcPr>
                  <w:tcW w:w="6817" w:type="dxa"/>
                  <w:noWrap w:val="0"/>
                  <w:vAlign w:val="center"/>
                </w:tcPr>
                <w:p w14:paraId="343B73FF">
                  <w:pPr>
                    <w:widowControl/>
                    <w:adjustRightInd w:val="0"/>
                    <w:snapToGrid w:val="0"/>
                    <w:rPr>
                      <w:rFonts w:hint="eastAsia" w:ascii="宋体" w:hAnsi="宋体"/>
                      <w:color w:val="000000"/>
                      <w:spacing w:val="3"/>
                      <w:sz w:val="24"/>
                      <w:highlight w:val="none"/>
                    </w:rPr>
                  </w:pPr>
                  <w:r>
                    <w:rPr>
                      <w:rFonts w:hint="eastAsia" w:ascii="宋体" w:hAnsi="宋体"/>
                      <w:color w:val="000000"/>
                      <w:spacing w:val="3"/>
                      <w:sz w:val="24"/>
                      <w:highlight w:val="none"/>
                    </w:rPr>
                    <w:t>合作方提供自2022年01月01日以来，具有4A级</w:t>
                  </w:r>
                  <w:r>
                    <w:rPr>
                      <w:rFonts w:hint="eastAsia" w:ascii="宋体" w:hAnsi="宋体"/>
                      <w:color w:val="000000"/>
                      <w:spacing w:val="3"/>
                      <w:sz w:val="24"/>
                      <w:highlight w:val="none"/>
                      <w:lang w:val="en-US" w:eastAsia="zh-CN"/>
                    </w:rPr>
                    <w:t>景区</w:t>
                  </w:r>
                  <w:r>
                    <w:rPr>
                      <w:rFonts w:hint="eastAsia" w:ascii="宋体" w:hAnsi="宋体"/>
                      <w:color w:val="000000"/>
                      <w:spacing w:val="3"/>
                      <w:sz w:val="24"/>
                      <w:highlight w:val="none"/>
                    </w:rPr>
                    <w:t>智慧自助导览打印机业绩</w:t>
                  </w:r>
                  <w:r>
                    <w:rPr>
                      <w:rFonts w:hint="eastAsia" w:ascii="宋体" w:hAnsi="宋体"/>
                      <w:color w:val="000000"/>
                      <w:spacing w:val="3"/>
                      <w:sz w:val="24"/>
                      <w:highlight w:val="none"/>
                      <w:lang w:eastAsia="zh-CN"/>
                    </w:rPr>
                    <w:t>（</w:t>
                  </w:r>
                  <w:r>
                    <w:rPr>
                      <w:rFonts w:hint="eastAsia" w:ascii="宋体" w:hAnsi="宋体"/>
                      <w:color w:val="000000"/>
                      <w:spacing w:val="3"/>
                      <w:sz w:val="24"/>
                      <w:highlight w:val="none"/>
                      <w:lang w:val="en-US" w:eastAsia="zh-CN"/>
                    </w:rPr>
                    <w:t>导览图和纪念票）</w:t>
                  </w:r>
                  <w:r>
                    <w:rPr>
                      <w:rFonts w:hint="eastAsia" w:ascii="宋体" w:hAnsi="宋体"/>
                      <w:color w:val="000000"/>
                      <w:spacing w:val="3"/>
                      <w:sz w:val="24"/>
                      <w:highlight w:val="none"/>
                    </w:rPr>
                    <w:t>，同时需提供对应业绩案例产品实物。每提供一个证明材料得</w:t>
                  </w:r>
                  <w:r>
                    <w:rPr>
                      <w:rFonts w:hint="eastAsia" w:ascii="宋体" w:hAnsi="宋体"/>
                      <w:color w:val="000000"/>
                      <w:spacing w:val="3"/>
                      <w:sz w:val="24"/>
                      <w:highlight w:val="none"/>
                      <w:lang w:val="en-US" w:eastAsia="zh-CN"/>
                    </w:rPr>
                    <w:t>2</w:t>
                  </w:r>
                  <w:r>
                    <w:rPr>
                      <w:rFonts w:hint="eastAsia" w:ascii="宋体" w:hAnsi="宋体"/>
                      <w:color w:val="000000"/>
                      <w:spacing w:val="3"/>
                      <w:sz w:val="24"/>
                      <w:highlight w:val="none"/>
                    </w:rPr>
                    <w:t>分，最多得</w:t>
                  </w:r>
                  <w:r>
                    <w:rPr>
                      <w:rFonts w:hint="eastAsia" w:ascii="宋体" w:hAnsi="宋体"/>
                      <w:color w:val="000000"/>
                      <w:spacing w:val="3"/>
                      <w:sz w:val="24"/>
                      <w:highlight w:val="none"/>
                      <w:lang w:val="en-US" w:eastAsia="zh-CN"/>
                    </w:rPr>
                    <w:t>8</w:t>
                  </w:r>
                  <w:r>
                    <w:rPr>
                      <w:rFonts w:hint="eastAsia" w:ascii="宋体" w:hAnsi="宋体"/>
                      <w:color w:val="000000"/>
                      <w:spacing w:val="3"/>
                      <w:sz w:val="24"/>
                      <w:highlight w:val="none"/>
                    </w:rPr>
                    <w:t>分。</w:t>
                  </w:r>
                </w:p>
                <w:p w14:paraId="20DD1B1F">
                  <w:pPr>
                    <w:widowControl/>
                    <w:adjustRightInd w:val="0"/>
                    <w:snapToGrid w:val="0"/>
                    <w:rPr>
                      <w:rFonts w:hint="eastAsia" w:ascii="宋体" w:hAnsi="宋体"/>
                      <w:color w:val="000000"/>
                      <w:spacing w:val="3"/>
                      <w:sz w:val="24"/>
                      <w:highlight w:val="none"/>
                    </w:rPr>
                  </w:pPr>
                  <w:r>
                    <w:rPr>
                      <w:rFonts w:hint="eastAsia" w:ascii="宋体" w:hAnsi="宋体"/>
                      <w:color w:val="000000"/>
                      <w:spacing w:val="3"/>
                      <w:sz w:val="24"/>
                      <w:highlight w:val="none"/>
                    </w:rPr>
                    <w:t>备注：</w:t>
                  </w:r>
                </w:p>
                <w:p w14:paraId="0401EC50">
                  <w:pPr>
                    <w:widowControl/>
                    <w:numPr>
                      <w:ilvl w:val="0"/>
                      <w:numId w:val="3"/>
                    </w:numPr>
                    <w:adjustRightInd w:val="0"/>
                    <w:snapToGrid w:val="0"/>
                    <w:rPr>
                      <w:rFonts w:hint="eastAsia" w:ascii="宋体" w:hAnsi="宋体"/>
                      <w:color w:val="000000"/>
                      <w:spacing w:val="3"/>
                      <w:sz w:val="24"/>
                      <w:highlight w:val="none"/>
                    </w:rPr>
                  </w:pPr>
                  <w:r>
                    <w:rPr>
                      <w:rFonts w:hint="eastAsia" w:ascii="宋体" w:hAnsi="宋体"/>
                      <w:color w:val="000000"/>
                      <w:spacing w:val="3"/>
                      <w:sz w:val="24"/>
                      <w:highlight w:val="none"/>
                    </w:rPr>
                    <w:t>业绩证明需提供合同关键页复印件并加盖公章：合同首页、服务内容页、甲乙方盖章页、签订时间页。以上业绩指标同一合作单位业绩不重复计分。</w:t>
                  </w:r>
                </w:p>
                <w:p w14:paraId="582C8AEC">
                  <w:pPr>
                    <w:widowControl/>
                    <w:numPr>
                      <w:ilvl w:val="0"/>
                      <w:numId w:val="0"/>
                    </w:numPr>
                    <w:adjustRightInd w:val="0"/>
                    <w:snapToGrid w:val="0"/>
                    <w:rPr>
                      <w:rFonts w:hint="eastAsia" w:ascii="宋体" w:hAnsi="宋体"/>
                      <w:color w:val="000000"/>
                      <w:spacing w:val="3"/>
                      <w:sz w:val="24"/>
                      <w:highlight w:val="none"/>
                    </w:rPr>
                  </w:pPr>
                  <w:r>
                    <w:rPr>
                      <w:rFonts w:hint="eastAsia" w:ascii="宋体" w:hAnsi="宋体"/>
                      <w:color w:val="000000"/>
                      <w:spacing w:val="3"/>
                      <w:sz w:val="24"/>
                      <w:highlight w:val="none"/>
                    </w:rPr>
                    <w:t>（2）该业绩可与初审业绩共用，未提供实物产品的业绩不得分</w:t>
                  </w:r>
                </w:p>
                <w:p w14:paraId="6D8FCA8C">
                  <w:pPr>
                    <w:widowControl/>
                    <w:adjustRightInd w:val="0"/>
                    <w:snapToGrid w:val="0"/>
                    <w:rPr>
                      <w:highlight w:val="none"/>
                    </w:rPr>
                  </w:pPr>
                </w:p>
              </w:tc>
              <w:tc>
                <w:tcPr>
                  <w:tcW w:w="1052" w:type="dxa"/>
                  <w:noWrap w:val="0"/>
                  <w:vAlign w:val="center"/>
                </w:tcPr>
                <w:p w14:paraId="09DD03BB">
                  <w:pPr>
                    <w:widowControl/>
                    <w:adjustRightInd w:val="0"/>
                    <w:snapToGrid w:val="0"/>
                    <w:ind w:left="105" w:leftChars="50"/>
                    <w:rPr>
                      <w:rFonts w:ascii="宋体" w:hAnsi="宋体"/>
                      <w:color w:val="000000"/>
                      <w:spacing w:val="3"/>
                      <w:sz w:val="24"/>
                      <w:highlight w:val="none"/>
                    </w:rPr>
                  </w:pPr>
                  <w:r>
                    <w:rPr>
                      <w:rFonts w:hint="eastAsia" w:ascii="宋体" w:hAnsi="宋体"/>
                      <w:color w:val="000000"/>
                      <w:spacing w:val="3"/>
                      <w:sz w:val="24"/>
                      <w:highlight w:val="none"/>
                    </w:rPr>
                    <w:t>0-</w:t>
                  </w:r>
                  <w:r>
                    <w:rPr>
                      <w:rFonts w:hint="eastAsia" w:ascii="宋体" w:hAnsi="宋体"/>
                      <w:color w:val="000000"/>
                      <w:spacing w:val="3"/>
                      <w:sz w:val="24"/>
                      <w:highlight w:val="none"/>
                      <w:lang w:val="en-US" w:eastAsia="zh-CN"/>
                    </w:rPr>
                    <w:t>8</w:t>
                  </w:r>
                  <w:r>
                    <w:rPr>
                      <w:rFonts w:hint="eastAsia" w:ascii="宋体" w:hAnsi="宋体"/>
                      <w:color w:val="000000"/>
                      <w:spacing w:val="3"/>
                      <w:sz w:val="24"/>
                      <w:highlight w:val="none"/>
                    </w:rPr>
                    <w:t>分</w:t>
                  </w:r>
                </w:p>
              </w:tc>
            </w:tr>
            <w:tr w14:paraId="0EDC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15" w:type="dxa"/>
                  <w:noWrap w:val="0"/>
                  <w:vAlign w:val="center"/>
                </w:tcPr>
                <w:p w14:paraId="54BE40B1">
                  <w:pPr>
                    <w:adjustRightInd w:val="0"/>
                    <w:snapToGrid w:val="0"/>
                    <w:ind w:left="105" w:leftChars="50"/>
                    <w:jc w:val="center"/>
                    <w:rPr>
                      <w:rFonts w:ascii="宋体" w:hAnsi="宋体" w:cs="宋体"/>
                      <w:bCs/>
                      <w:color w:val="000000"/>
                      <w:sz w:val="24"/>
                      <w:highlight w:val="none"/>
                    </w:rPr>
                  </w:pPr>
                  <w:r>
                    <w:rPr>
                      <w:rFonts w:hint="eastAsia" w:ascii="宋体" w:hAnsi="宋体" w:cs="宋体"/>
                      <w:bCs/>
                      <w:color w:val="000000"/>
                      <w:sz w:val="24"/>
                      <w:highlight w:val="none"/>
                    </w:rPr>
                    <w:t>2</w:t>
                  </w:r>
                </w:p>
              </w:tc>
              <w:tc>
                <w:tcPr>
                  <w:tcW w:w="1185" w:type="dxa"/>
                  <w:noWrap w:val="0"/>
                  <w:vAlign w:val="center"/>
                </w:tcPr>
                <w:p w14:paraId="022F25D6">
                  <w:pPr>
                    <w:widowControl/>
                    <w:adjustRightInd w:val="0"/>
                    <w:snapToGrid w:val="0"/>
                    <w:ind w:left="105" w:leftChars="50"/>
                    <w:jc w:val="center"/>
                    <w:rPr>
                      <w:rFonts w:ascii="宋体" w:hAnsi="宋体"/>
                      <w:color w:val="000000"/>
                      <w:spacing w:val="3"/>
                      <w:sz w:val="24"/>
                      <w:highlight w:val="none"/>
                    </w:rPr>
                  </w:pPr>
                  <w:r>
                    <w:rPr>
                      <w:rFonts w:hint="eastAsia" w:ascii="宋体" w:hAnsi="宋体"/>
                      <w:color w:val="000000"/>
                      <w:spacing w:val="3"/>
                      <w:sz w:val="24"/>
                      <w:highlight w:val="none"/>
                    </w:rPr>
                    <w:t>合作方网络安全保护等级</w:t>
                  </w:r>
                </w:p>
              </w:tc>
              <w:tc>
                <w:tcPr>
                  <w:tcW w:w="6817" w:type="dxa"/>
                  <w:noWrap w:val="0"/>
                  <w:vAlign w:val="center"/>
                </w:tcPr>
                <w:p w14:paraId="6E3F62B3">
                  <w:pPr>
                    <w:widowControl/>
                    <w:adjustRightInd w:val="0"/>
                    <w:snapToGrid w:val="0"/>
                    <w:rPr>
                      <w:rFonts w:hint="eastAsia" w:ascii="宋体" w:hAnsi="宋体"/>
                      <w:color w:val="000000"/>
                      <w:spacing w:val="3"/>
                      <w:sz w:val="24"/>
                      <w:highlight w:val="none"/>
                    </w:rPr>
                  </w:pPr>
                  <w:r>
                    <w:rPr>
                      <w:rFonts w:hint="eastAsia" w:ascii="宋体" w:hAnsi="宋体" w:eastAsia="宋体" w:cs="Times New Roman"/>
                      <w:color w:val="000000"/>
                      <w:spacing w:val="3"/>
                      <w:sz w:val="24"/>
                      <w:highlight w:val="none"/>
                    </w:rPr>
                    <w:t>合作方</w:t>
                  </w:r>
                  <w:r>
                    <w:rPr>
                      <w:rFonts w:hint="eastAsia" w:ascii="宋体" w:hAnsi="宋体" w:eastAsia="宋体" w:cs="Times New Roman"/>
                      <w:color w:val="000000"/>
                      <w:spacing w:val="3"/>
                      <w:sz w:val="24"/>
                      <w:highlight w:val="none"/>
                      <w:lang w:eastAsia="zh-CN"/>
                    </w:rPr>
                    <w:t>提供网络安全保护等级证书：一级证书</w:t>
                  </w:r>
                  <w:r>
                    <w:rPr>
                      <w:rFonts w:hint="eastAsia" w:ascii="宋体" w:hAnsi="宋体" w:eastAsia="宋体" w:cs="Times New Roman"/>
                      <w:color w:val="000000"/>
                      <w:spacing w:val="3"/>
                      <w:sz w:val="24"/>
                      <w:highlight w:val="none"/>
                    </w:rPr>
                    <w:t>得</w:t>
                  </w:r>
                  <w:r>
                    <w:rPr>
                      <w:rFonts w:hint="eastAsia" w:ascii="宋体" w:hAnsi="宋体" w:eastAsia="宋体" w:cs="Times New Roman"/>
                      <w:color w:val="000000"/>
                      <w:spacing w:val="3"/>
                      <w:sz w:val="24"/>
                      <w:highlight w:val="none"/>
                      <w:lang w:val="en-US" w:eastAsia="zh-CN"/>
                    </w:rPr>
                    <w:t>4</w:t>
                  </w:r>
                  <w:r>
                    <w:rPr>
                      <w:rFonts w:hint="eastAsia" w:ascii="宋体" w:hAnsi="宋体" w:eastAsia="宋体" w:cs="Times New Roman"/>
                      <w:color w:val="000000"/>
                      <w:spacing w:val="3"/>
                      <w:sz w:val="24"/>
                      <w:highlight w:val="none"/>
                    </w:rPr>
                    <w:t>分</w:t>
                  </w:r>
                  <w:r>
                    <w:rPr>
                      <w:rFonts w:hint="eastAsia" w:ascii="宋体" w:hAnsi="宋体" w:eastAsia="宋体" w:cs="Times New Roman"/>
                      <w:color w:val="000000"/>
                      <w:spacing w:val="3"/>
                      <w:sz w:val="24"/>
                      <w:highlight w:val="none"/>
                      <w:lang w:eastAsia="zh-CN"/>
                    </w:rPr>
                    <w:t>；二级证书得</w:t>
                  </w:r>
                  <w:r>
                    <w:rPr>
                      <w:rFonts w:hint="eastAsia" w:ascii="宋体" w:hAnsi="宋体" w:eastAsia="宋体" w:cs="Times New Roman"/>
                      <w:color w:val="000000"/>
                      <w:spacing w:val="3"/>
                      <w:sz w:val="24"/>
                      <w:highlight w:val="none"/>
                      <w:lang w:val="en-US" w:eastAsia="zh-CN"/>
                    </w:rPr>
                    <w:t>8</w:t>
                  </w:r>
                  <w:r>
                    <w:rPr>
                      <w:rFonts w:hint="eastAsia" w:ascii="宋体" w:hAnsi="宋体" w:eastAsia="宋体" w:cs="Times New Roman"/>
                      <w:color w:val="000000"/>
                      <w:spacing w:val="3"/>
                      <w:sz w:val="24"/>
                      <w:highlight w:val="none"/>
                    </w:rPr>
                    <w:t>分</w:t>
                  </w:r>
                  <w:r>
                    <w:rPr>
                      <w:rFonts w:hint="eastAsia" w:ascii="宋体" w:hAnsi="宋体" w:eastAsia="宋体" w:cs="Times New Roman"/>
                      <w:color w:val="000000"/>
                      <w:spacing w:val="3"/>
                      <w:sz w:val="24"/>
                      <w:highlight w:val="none"/>
                      <w:lang w:eastAsia="zh-CN"/>
                    </w:rPr>
                    <w:t>；三级</w:t>
                  </w:r>
                  <w:r>
                    <w:rPr>
                      <w:rFonts w:hint="eastAsia" w:ascii="宋体" w:hAnsi="宋体" w:eastAsia="宋体" w:cs="Times New Roman"/>
                      <w:color w:val="000000"/>
                      <w:spacing w:val="3"/>
                      <w:sz w:val="24"/>
                      <w:highlight w:val="none"/>
                      <w:lang w:val="en-US" w:eastAsia="zh-CN"/>
                    </w:rPr>
                    <w:t>及以上</w:t>
                  </w:r>
                  <w:r>
                    <w:rPr>
                      <w:rFonts w:hint="eastAsia" w:ascii="宋体" w:hAnsi="宋体" w:eastAsia="宋体" w:cs="Times New Roman"/>
                      <w:color w:val="000000"/>
                      <w:spacing w:val="3"/>
                      <w:sz w:val="24"/>
                      <w:highlight w:val="none"/>
                      <w:lang w:eastAsia="zh-CN"/>
                    </w:rPr>
                    <w:t>证书得</w:t>
                  </w:r>
                  <w:r>
                    <w:rPr>
                      <w:rFonts w:hint="eastAsia" w:ascii="宋体" w:hAnsi="宋体" w:cs="Times New Roman"/>
                      <w:color w:val="000000"/>
                      <w:spacing w:val="3"/>
                      <w:sz w:val="24"/>
                      <w:highlight w:val="none"/>
                      <w:lang w:val="en-US" w:eastAsia="zh-CN"/>
                    </w:rPr>
                    <w:t>12</w:t>
                  </w:r>
                  <w:r>
                    <w:rPr>
                      <w:rFonts w:hint="eastAsia" w:ascii="宋体" w:hAnsi="宋体" w:eastAsia="宋体" w:cs="Times New Roman"/>
                      <w:color w:val="000000"/>
                      <w:spacing w:val="3"/>
                      <w:sz w:val="24"/>
                      <w:highlight w:val="none"/>
                      <w:lang w:val="en-US" w:eastAsia="zh-CN"/>
                    </w:rPr>
                    <w:t>分。</w:t>
                  </w:r>
                </w:p>
              </w:tc>
              <w:tc>
                <w:tcPr>
                  <w:tcW w:w="1052" w:type="dxa"/>
                  <w:noWrap w:val="0"/>
                  <w:vAlign w:val="center"/>
                </w:tcPr>
                <w:p w14:paraId="7BE398C0">
                  <w:pPr>
                    <w:widowControl/>
                    <w:adjustRightInd w:val="0"/>
                    <w:snapToGrid w:val="0"/>
                    <w:ind w:left="105" w:leftChars="50"/>
                    <w:rPr>
                      <w:rFonts w:hint="eastAsia" w:ascii="宋体" w:hAnsi="宋体"/>
                      <w:color w:val="000000"/>
                      <w:spacing w:val="3"/>
                      <w:sz w:val="24"/>
                      <w:highlight w:val="none"/>
                    </w:rPr>
                  </w:pPr>
                  <w:r>
                    <w:rPr>
                      <w:rFonts w:hint="eastAsia" w:ascii="宋体" w:hAnsi="宋体"/>
                      <w:color w:val="000000"/>
                      <w:spacing w:val="3"/>
                      <w:sz w:val="24"/>
                      <w:highlight w:val="none"/>
                    </w:rPr>
                    <w:t>0-</w:t>
                  </w:r>
                  <w:r>
                    <w:rPr>
                      <w:rFonts w:hint="eastAsia" w:ascii="宋体" w:hAnsi="宋体"/>
                      <w:color w:val="000000"/>
                      <w:spacing w:val="3"/>
                      <w:sz w:val="24"/>
                      <w:highlight w:val="none"/>
                      <w:lang w:val="en-US" w:eastAsia="zh-CN"/>
                    </w:rPr>
                    <w:t>12</w:t>
                  </w:r>
                  <w:r>
                    <w:rPr>
                      <w:rFonts w:hint="eastAsia" w:ascii="宋体" w:hAnsi="宋体"/>
                      <w:color w:val="000000"/>
                      <w:spacing w:val="3"/>
                      <w:sz w:val="24"/>
                      <w:highlight w:val="none"/>
                    </w:rPr>
                    <w:t>分</w:t>
                  </w:r>
                </w:p>
              </w:tc>
            </w:tr>
            <w:tr w14:paraId="43FB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15" w:type="dxa"/>
                  <w:noWrap w:val="0"/>
                  <w:vAlign w:val="center"/>
                </w:tcPr>
                <w:p w14:paraId="07EF82E9">
                  <w:pPr>
                    <w:adjustRightInd w:val="0"/>
                    <w:snapToGrid w:val="0"/>
                    <w:ind w:left="105" w:leftChars="50"/>
                    <w:jc w:val="center"/>
                    <w:rPr>
                      <w:rFonts w:ascii="宋体" w:hAnsi="宋体" w:cs="宋体"/>
                      <w:bCs/>
                      <w:color w:val="000000"/>
                      <w:sz w:val="24"/>
                      <w:highlight w:val="none"/>
                    </w:rPr>
                  </w:pPr>
                  <w:r>
                    <w:rPr>
                      <w:rFonts w:ascii="宋体" w:hAnsi="宋体" w:cs="宋体"/>
                      <w:bCs/>
                      <w:color w:val="000000"/>
                      <w:sz w:val="24"/>
                      <w:highlight w:val="none"/>
                    </w:rPr>
                    <w:t>3</w:t>
                  </w:r>
                </w:p>
              </w:tc>
              <w:tc>
                <w:tcPr>
                  <w:tcW w:w="1185" w:type="dxa"/>
                  <w:noWrap w:val="0"/>
                  <w:vAlign w:val="center"/>
                </w:tcPr>
                <w:p w14:paraId="1C0B294B">
                  <w:pPr>
                    <w:widowControl/>
                    <w:adjustRightInd w:val="0"/>
                    <w:snapToGrid w:val="0"/>
                    <w:rPr>
                      <w:rFonts w:hint="eastAsia" w:ascii="宋体" w:hAnsi="宋体"/>
                      <w:color w:val="000000"/>
                      <w:spacing w:val="3"/>
                      <w:sz w:val="24"/>
                      <w:highlight w:val="none"/>
                    </w:rPr>
                  </w:pPr>
                  <w:r>
                    <w:rPr>
                      <w:rFonts w:hint="eastAsia" w:ascii="宋体" w:hAnsi="宋体"/>
                      <w:color w:val="000000"/>
                      <w:spacing w:val="3"/>
                      <w:sz w:val="24"/>
                      <w:highlight w:val="none"/>
                    </w:rPr>
                    <w:t>动物园专属产品设计方案</w:t>
                  </w:r>
                </w:p>
              </w:tc>
              <w:tc>
                <w:tcPr>
                  <w:tcW w:w="6817" w:type="dxa"/>
                  <w:noWrap w:val="0"/>
                  <w:vAlign w:val="center"/>
                </w:tcPr>
                <w:p w14:paraId="146A1888">
                  <w:pPr>
                    <w:widowControl/>
                    <w:adjustRightInd w:val="0"/>
                    <w:snapToGrid w:val="0"/>
                    <w:rPr>
                      <w:rFonts w:hint="eastAsia" w:ascii="宋体" w:hAnsi="宋体"/>
                      <w:color w:val="000000"/>
                      <w:spacing w:val="3"/>
                      <w:sz w:val="24"/>
                      <w:highlight w:val="none"/>
                    </w:rPr>
                  </w:pPr>
                  <w:r>
                    <w:rPr>
                      <w:rFonts w:hint="eastAsia" w:ascii="宋体" w:hAnsi="宋体"/>
                      <w:color w:val="000000"/>
                      <w:spacing w:val="3"/>
                      <w:sz w:val="24"/>
                      <w:highlight w:val="none"/>
                    </w:rPr>
                    <w:t>合作方需根据招商方需求设计合肥野生动物园定制</w:t>
                  </w:r>
                  <w:r>
                    <w:rPr>
                      <w:rFonts w:hint="eastAsia" w:ascii="宋体" w:hAnsi="宋体"/>
                      <w:color w:val="000000"/>
                      <w:spacing w:val="3"/>
                      <w:sz w:val="24"/>
                      <w:highlight w:val="none"/>
                      <w:lang w:val="en-US" w:eastAsia="zh-CN"/>
                    </w:rPr>
                    <w:t>导览图和纪念票</w:t>
                  </w:r>
                  <w:r>
                    <w:rPr>
                      <w:rFonts w:hint="eastAsia" w:ascii="宋体" w:hAnsi="宋体"/>
                      <w:color w:val="000000"/>
                      <w:spacing w:val="3"/>
                      <w:sz w:val="24"/>
                      <w:highlight w:val="none"/>
                    </w:rPr>
                    <w:t>。从设计图稿、整体造型等供评委进行综合评价：</w:t>
                  </w:r>
                </w:p>
                <w:p w14:paraId="17AEABF3">
                  <w:pPr>
                    <w:widowControl/>
                    <w:adjustRightInd w:val="0"/>
                    <w:snapToGrid w:val="0"/>
                    <w:rPr>
                      <w:rFonts w:hint="eastAsia" w:ascii="宋体" w:hAnsi="宋体"/>
                      <w:color w:val="000000"/>
                      <w:spacing w:val="3"/>
                      <w:sz w:val="24"/>
                      <w:highlight w:val="none"/>
                    </w:rPr>
                  </w:pPr>
                  <w:r>
                    <w:rPr>
                      <w:rFonts w:hint="eastAsia" w:ascii="宋体" w:hAnsi="宋体"/>
                      <w:color w:val="000000"/>
                      <w:spacing w:val="3"/>
                      <w:sz w:val="24"/>
                      <w:highlight w:val="none"/>
                    </w:rPr>
                    <w:t>1.综合评价为优的，得</w:t>
                  </w:r>
                  <w:r>
                    <w:rPr>
                      <w:rFonts w:ascii="宋体" w:hAnsi="宋体"/>
                      <w:color w:val="000000"/>
                      <w:spacing w:val="3"/>
                      <w:sz w:val="24"/>
                      <w:highlight w:val="none"/>
                    </w:rPr>
                    <w:t>1</w:t>
                  </w:r>
                  <w:r>
                    <w:rPr>
                      <w:rFonts w:hint="eastAsia" w:ascii="宋体" w:hAnsi="宋体"/>
                      <w:color w:val="000000"/>
                      <w:spacing w:val="3"/>
                      <w:sz w:val="24"/>
                      <w:highlight w:val="none"/>
                      <w:lang w:val="en-US" w:eastAsia="zh-CN"/>
                    </w:rPr>
                    <w:t>2</w:t>
                  </w:r>
                  <w:r>
                    <w:rPr>
                      <w:rFonts w:hint="eastAsia" w:ascii="宋体" w:hAnsi="宋体"/>
                      <w:color w:val="000000"/>
                      <w:spacing w:val="3"/>
                      <w:sz w:val="24"/>
                      <w:highlight w:val="none"/>
                    </w:rPr>
                    <w:t>≤F≤</w:t>
                  </w:r>
                  <w:r>
                    <w:rPr>
                      <w:rFonts w:hint="eastAsia" w:ascii="宋体" w:hAnsi="宋体"/>
                      <w:color w:val="000000"/>
                      <w:spacing w:val="3"/>
                      <w:sz w:val="24"/>
                      <w:highlight w:val="none"/>
                      <w:lang w:val="en-US" w:eastAsia="zh-CN"/>
                    </w:rPr>
                    <w:t>20</w:t>
                  </w:r>
                  <w:r>
                    <w:rPr>
                      <w:rFonts w:hint="eastAsia" w:ascii="宋体" w:hAnsi="宋体"/>
                      <w:color w:val="000000"/>
                      <w:spacing w:val="3"/>
                      <w:sz w:val="24"/>
                      <w:highlight w:val="none"/>
                    </w:rPr>
                    <w:t>分；</w:t>
                  </w:r>
                </w:p>
                <w:p w14:paraId="6E68B49C">
                  <w:pPr>
                    <w:widowControl/>
                    <w:adjustRightInd w:val="0"/>
                    <w:snapToGrid w:val="0"/>
                    <w:rPr>
                      <w:rFonts w:ascii="宋体" w:hAnsi="宋体"/>
                      <w:color w:val="000000"/>
                      <w:spacing w:val="3"/>
                      <w:sz w:val="24"/>
                      <w:highlight w:val="none"/>
                    </w:rPr>
                  </w:pPr>
                  <w:r>
                    <w:rPr>
                      <w:rFonts w:hint="eastAsia" w:ascii="宋体" w:hAnsi="宋体"/>
                      <w:color w:val="000000"/>
                      <w:spacing w:val="3"/>
                      <w:sz w:val="24"/>
                      <w:highlight w:val="none"/>
                    </w:rPr>
                    <w:t>2.综合评价为良的，得</w:t>
                  </w:r>
                  <w:r>
                    <w:rPr>
                      <w:rFonts w:hint="eastAsia" w:ascii="宋体" w:hAnsi="宋体"/>
                      <w:color w:val="000000"/>
                      <w:spacing w:val="3"/>
                      <w:sz w:val="24"/>
                      <w:highlight w:val="none"/>
                      <w:lang w:val="en-US" w:eastAsia="zh-CN"/>
                    </w:rPr>
                    <w:t>6</w:t>
                  </w:r>
                  <w:r>
                    <w:rPr>
                      <w:rFonts w:hint="eastAsia" w:ascii="宋体" w:hAnsi="宋体"/>
                      <w:color w:val="000000"/>
                      <w:spacing w:val="3"/>
                      <w:sz w:val="24"/>
                      <w:highlight w:val="none"/>
                    </w:rPr>
                    <w:t>≤F＜1</w:t>
                  </w:r>
                  <w:r>
                    <w:rPr>
                      <w:rFonts w:hint="eastAsia" w:ascii="宋体" w:hAnsi="宋体"/>
                      <w:color w:val="000000"/>
                      <w:spacing w:val="3"/>
                      <w:sz w:val="24"/>
                      <w:highlight w:val="none"/>
                      <w:lang w:val="en-US" w:eastAsia="zh-CN"/>
                    </w:rPr>
                    <w:t>2</w:t>
                  </w:r>
                  <w:r>
                    <w:rPr>
                      <w:rFonts w:hint="eastAsia" w:ascii="宋体" w:hAnsi="宋体"/>
                      <w:color w:val="000000"/>
                      <w:spacing w:val="3"/>
                      <w:sz w:val="24"/>
                      <w:highlight w:val="none"/>
                    </w:rPr>
                    <w:t>分；</w:t>
                  </w:r>
                </w:p>
                <w:p w14:paraId="6A1BB8B8">
                  <w:pPr>
                    <w:widowControl/>
                    <w:adjustRightInd w:val="0"/>
                    <w:snapToGrid w:val="0"/>
                    <w:rPr>
                      <w:rFonts w:hint="eastAsia" w:ascii="宋体" w:hAnsi="宋体"/>
                      <w:color w:val="000000"/>
                      <w:spacing w:val="3"/>
                      <w:sz w:val="24"/>
                      <w:highlight w:val="none"/>
                    </w:rPr>
                  </w:pPr>
                  <w:r>
                    <w:rPr>
                      <w:rFonts w:ascii="宋体" w:hAnsi="宋体"/>
                      <w:color w:val="000000"/>
                      <w:spacing w:val="3"/>
                      <w:sz w:val="24"/>
                      <w:highlight w:val="none"/>
                    </w:rPr>
                    <w:t>3</w:t>
                  </w:r>
                  <w:r>
                    <w:rPr>
                      <w:rFonts w:hint="eastAsia" w:ascii="宋体" w:hAnsi="宋体"/>
                      <w:color w:val="000000"/>
                      <w:spacing w:val="3"/>
                      <w:sz w:val="24"/>
                      <w:highlight w:val="none"/>
                    </w:rPr>
                    <w:t>.综合评价一般的，得1≤F＜</w:t>
                  </w:r>
                  <w:r>
                    <w:rPr>
                      <w:rFonts w:hint="eastAsia" w:ascii="宋体" w:hAnsi="宋体"/>
                      <w:color w:val="000000"/>
                      <w:spacing w:val="3"/>
                      <w:sz w:val="24"/>
                      <w:highlight w:val="none"/>
                      <w:lang w:val="en-US" w:eastAsia="zh-CN"/>
                    </w:rPr>
                    <w:t>6</w:t>
                  </w:r>
                  <w:r>
                    <w:rPr>
                      <w:rFonts w:hint="eastAsia" w:ascii="宋体" w:hAnsi="宋体"/>
                      <w:color w:val="000000"/>
                      <w:spacing w:val="3"/>
                      <w:sz w:val="24"/>
                      <w:highlight w:val="none"/>
                    </w:rPr>
                    <w:t>分；</w:t>
                  </w:r>
                </w:p>
                <w:p w14:paraId="46CA2363">
                  <w:pPr>
                    <w:widowControl/>
                    <w:jc w:val="left"/>
                    <w:rPr>
                      <w:rFonts w:hint="eastAsia" w:ascii="宋体" w:hAnsi="宋体"/>
                      <w:color w:val="000000"/>
                      <w:spacing w:val="3"/>
                      <w:sz w:val="24"/>
                      <w:highlight w:val="none"/>
                    </w:rPr>
                  </w:pPr>
                  <w:r>
                    <w:rPr>
                      <w:rFonts w:ascii="宋体" w:hAnsi="宋体"/>
                      <w:color w:val="000000"/>
                      <w:spacing w:val="3"/>
                      <w:sz w:val="24"/>
                      <w:highlight w:val="none"/>
                    </w:rPr>
                    <w:t>4</w:t>
                  </w:r>
                  <w:r>
                    <w:rPr>
                      <w:rFonts w:hint="eastAsia" w:ascii="宋体" w:hAnsi="宋体"/>
                      <w:color w:val="000000"/>
                      <w:spacing w:val="3"/>
                      <w:sz w:val="24"/>
                      <w:highlight w:val="none"/>
                    </w:rPr>
                    <w:t>.未提供的得0分。</w:t>
                  </w:r>
                </w:p>
              </w:tc>
              <w:tc>
                <w:tcPr>
                  <w:tcW w:w="1052" w:type="dxa"/>
                  <w:noWrap w:val="0"/>
                  <w:vAlign w:val="center"/>
                </w:tcPr>
                <w:p w14:paraId="4659E894">
                  <w:pPr>
                    <w:widowControl/>
                    <w:adjustRightInd w:val="0"/>
                    <w:snapToGrid w:val="0"/>
                    <w:ind w:left="105" w:leftChars="50"/>
                    <w:rPr>
                      <w:rFonts w:ascii="宋体" w:hAnsi="宋体"/>
                      <w:color w:val="000000"/>
                      <w:spacing w:val="3"/>
                      <w:sz w:val="24"/>
                      <w:highlight w:val="none"/>
                    </w:rPr>
                  </w:pPr>
                  <w:r>
                    <w:rPr>
                      <w:rFonts w:hint="eastAsia" w:ascii="宋体" w:hAnsi="宋体"/>
                      <w:color w:val="000000"/>
                      <w:spacing w:val="3"/>
                      <w:sz w:val="24"/>
                      <w:highlight w:val="none"/>
                    </w:rPr>
                    <w:t>0-</w:t>
                  </w:r>
                  <w:r>
                    <w:rPr>
                      <w:rFonts w:hint="eastAsia" w:ascii="宋体" w:hAnsi="宋体"/>
                      <w:color w:val="000000"/>
                      <w:spacing w:val="3"/>
                      <w:sz w:val="24"/>
                      <w:highlight w:val="none"/>
                      <w:lang w:val="en-US" w:eastAsia="zh-CN"/>
                    </w:rPr>
                    <w:t>20</w:t>
                  </w:r>
                  <w:r>
                    <w:rPr>
                      <w:rFonts w:hint="eastAsia" w:ascii="宋体" w:hAnsi="宋体"/>
                      <w:color w:val="000000"/>
                      <w:spacing w:val="3"/>
                      <w:sz w:val="24"/>
                      <w:highlight w:val="none"/>
                    </w:rPr>
                    <w:t>分</w:t>
                  </w:r>
                </w:p>
              </w:tc>
            </w:tr>
            <w:tr w14:paraId="2BB6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015" w:type="dxa"/>
                  <w:noWrap w:val="0"/>
                  <w:vAlign w:val="center"/>
                </w:tcPr>
                <w:p w14:paraId="310FA92C">
                  <w:pPr>
                    <w:widowControl/>
                    <w:adjustRightInd w:val="0"/>
                    <w:snapToGrid w:val="0"/>
                    <w:ind w:firstLine="246" w:firstLineChars="100"/>
                    <w:rPr>
                      <w:rFonts w:ascii="宋体" w:hAnsi="宋体"/>
                      <w:color w:val="000000"/>
                      <w:spacing w:val="3"/>
                      <w:sz w:val="24"/>
                      <w:highlight w:val="none"/>
                    </w:rPr>
                  </w:pPr>
                  <w:r>
                    <w:rPr>
                      <w:rFonts w:hint="eastAsia" w:ascii="宋体" w:hAnsi="宋体"/>
                      <w:color w:val="000000"/>
                      <w:spacing w:val="3"/>
                      <w:sz w:val="24"/>
                      <w:highlight w:val="none"/>
                    </w:rPr>
                    <w:t>4</w:t>
                  </w:r>
                </w:p>
              </w:tc>
              <w:tc>
                <w:tcPr>
                  <w:tcW w:w="1185" w:type="dxa"/>
                  <w:noWrap w:val="0"/>
                  <w:vAlign w:val="center"/>
                </w:tcPr>
                <w:p w14:paraId="4C6FB08E">
                  <w:pPr>
                    <w:widowControl/>
                    <w:adjustRightInd w:val="0"/>
                    <w:snapToGrid w:val="0"/>
                    <w:rPr>
                      <w:rFonts w:hint="eastAsia" w:ascii="宋体" w:hAnsi="宋体"/>
                      <w:color w:val="000000"/>
                      <w:spacing w:val="3"/>
                      <w:sz w:val="24"/>
                      <w:highlight w:val="none"/>
                    </w:rPr>
                  </w:pPr>
                  <w:r>
                    <w:rPr>
                      <w:rFonts w:hint="eastAsia" w:ascii="宋体" w:hAnsi="宋体"/>
                      <w:color w:val="000000"/>
                      <w:spacing w:val="3"/>
                      <w:sz w:val="24"/>
                      <w:highlight w:val="none"/>
                      <w:lang w:val="en-US" w:eastAsia="zh-CN"/>
                    </w:rPr>
                    <w:t>机器</w:t>
                  </w:r>
                  <w:r>
                    <w:rPr>
                      <w:rFonts w:hint="eastAsia" w:ascii="宋体" w:hAnsi="宋体"/>
                      <w:color w:val="000000"/>
                      <w:spacing w:val="3"/>
                      <w:sz w:val="24"/>
                      <w:highlight w:val="none"/>
                    </w:rPr>
                    <w:t>外观及打卡点设计方案</w:t>
                  </w:r>
                </w:p>
              </w:tc>
              <w:tc>
                <w:tcPr>
                  <w:tcW w:w="6817" w:type="dxa"/>
                  <w:noWrap w:val="0"/>
                  <w:vAlign w:val="center"/>
                </w:tcPr>
                <w:p w14:paraId="209B2320">
                  <w:pPr>
                    <w:widowControl/>
                    <w:adjustRightInd w:val="0"/>
                    <w:snapToGrid w:val="0"/>
                    <w:rPr>
                      <w:rFonts w:hint="eastAsia" w:ascii="宋体" w:hAnsi="宋体"/>
                      <w:color w:val="000000"/>
                      <w:spacing w:val="3"/>
                      <w:sz w:val="24"/>
                      <w:highlight w:val="none"/>
                    </w:rPr>
                  </w:pPr>
                  <w:r>
                    <w:rPr>
                      <w:rFonts w:hint="eastAsia" w:ascii="宋体" w:hAnsi="宋体"/>
                      <w:color w:val="000000"/>
                      <w:spacing w:val="3"/>
                      <w:sz w:val="24"/>
                      <w:highlight w:val="none"/>
                    </w:rPr>
                    <w:t>根据招商方要求设计打卡点及</w:t>
                  </w:r>
                  <w:r>
                    <w:rPr>
                      <w:rFonts w:hint="eastAsia" w:ascii="宋体" w:hAnsi="宋体"/>
                      <w:color w:val="000000"/>
                      <w:spacing w:val="3"/>
                      <w:sz w:val="24"/>
                      <w:highlight w:val="none"/>
                      <w:lang w:val="en-US" w:eastAsia="zh-CN"/>
                    </w:rPr>
                    <w:t>机器</w:t>
                  </w:r>
                  <w:r>
                    <w:rPr>
                      <w:rFonts w:hint="eastAsia" w:ascii="宋体" w:hAnsi="宋体"/>
                      <w:color w:val="000000"/>
                      <w:spacing w:val="3"/>
                      <w:sz w:val="24"/>
                      <w:highlight w:val="none"/>
                    </w:rPr>
                    <w:t>的外观，设计方案需符合动物园使用场景，同时需结合投放场地应对特殊天气要求：</w:t>
                  </w:r>
                </w:p>
                <w:p w14:paraId="56788A13">
                  <w:pPr>
                    <w:widowControl/>
                    <w:adjustRightInd w:val="0"/>
                    <w:snapToGrid w:val="0"/>
                    <w:rPr>
                      <w:rFonts w:hint="eastAsia" w:ascii="宋体" w:hAnsi="宋体"/>
                      <w:color w:val="000000"/>
                      <w:spacing w:val="3"/>
                      <w:sz w:val="24"/>
                      <w:highlight w:val="none"/>
                    </w:rPr>
                  </w:pPr>
                  <w:r>
                    <w:rPr>
                      <w:rFonts w:hint="eastAsia" w:ascii="宋体" w:hAnsi="宋体"/>
                      <w:color w:val="000000"/>
                      <w:spacing w:val="3"/>
                      <w:sz w:val="24"/>
                      <w:highlight w:val="none"/>
                    </w:rPr>
                    <w:t>1.方案详细完善、文化性强，针对性强得</w:t>
                  </w:r>
                  <w:r>
                    <w:rPr>
                      <w:rFonts w:ascii="宋体" w:hAnsi="宋体"/>
                      <w:color w:val="000000"/>
                      <w:spacing w:val="3"/>
                      <w:sz w:val="24"/>
                      <w:highlight w:val="none"/>
                    </w:rPr>
                    <w:t>1</w:t>
                  </w:r>
                  <w:r>
                    <w:rPr>
                      <w:rFonts w:hint="eastAsia" w:ascii="宋体" w:hAnsi="宋体"/>
                      <w:color w:val="000000"/>
                      <w:spacing w:val="3"/>
                      <w:sz w:val="24"/>
                      <w:highlight w:val="none"/>
                      <w:lang w:val="en-US" w:eastAsia="zh-CN"/>
                    </w:rPr>
                    <w:t>2</w:t>
                  </w:r>
                  <w:r>
                    <w:rPr>
                      <w:rFonts w:hint="eastAsia" w:ascii="宋体" w:hAnsi="宋体"/>
                      <w:color w:val="000000"/>
                      <w:spacing w:val="3"/>
                      <w:sz w:val="24"/>
                      <w:highlight w:val="none"/>
                    </w:rPr>
                    <w:t>≤F≤</w:t>
                  </w:r>
                  <w:r>
                    <w:rPr>
                      <w:rFonts w:hint="eastAsia" w:ascii="宋体" w:hAnsi="宋体"/>
                      <w:color w:val="000000"/>
                      <w:spacing w:val="3"/>
                      <w:sz w:val="24"/>
                      <w:highlight w:val="none"/>
                      <w:lang w:val="en-US" w:eastAsia="zh-CN"/>
                    </w:rPr>
                    <w:t>20</w:t>
                  </w:r>
                  <w:r>
                    <w:rPr>
                      <w:rFonts w:hint="eastAsia" w:ascii="宋体" w:hAnsi="宋体"/>
                      <w:color w:val="000000"/>
                      <w:spacing w:val="3"/>
                      <w:sz w:val="24"/>
                      <w:highlight w:val="none"/>
                    </w:rPr>
                    <w:t>分；</w:t>
                  </w:r>
                </w:p>
                <w:p w14:paraId="4A1B6642">
                  <w:pPr>
                    <w:widowControl/>
                    <w:adjustRightInd w:val="0"/>
                    <w:snapToGrid w:val="0"/>
                    <w:rPr>
                      <w:rFonts w:ascii="宋体" w:hAnsi="宋体"/>
                      <w:color w:val="000000"/>
                      <w:spacing w:val="3"/>
                      <w:sz w:val="24"/>
                      <w:highlight w:val="none"/>
                    </w:rPr>
                  </w:pPr>
                  <w:r>
                    <w:rPr>
                      <w:rFonts w:hint="eastAsia" w:ascii="宋体" w:hAnsi="宋体"/>
                      <w:color w:val="000000"/>
                      <w:spacing w:val="3"/>
                      <w:sz w:val="24"/>
                      <w:highlight w:val="none"/>
                    </w:rPr>
                    <w:t>2.方案较为完善、文化性良好，针对性较强得</w:t>
                  </w:r>
                  <w:r>
                    <w:rPr>
                      <w:rFonts w:hint="eastAsia" w:ascii="宋体" w:hAnsi="宋体"/>
                      <w:color w:val="000000"/>
                      <w:spacing w:val="3"/>
                      <w:sz w:val="24"/>
                      <w:highlight w:val="none"/>
                      <w:lang w:val="en-US" w:eastAsia="zh-CN"/>
                    </w:rPr>
                    <w:t>6</w:t>
                  </w:r>
                  <w:r>
                    <w:rPr>
                      <w:rFonts w:hint="eastAsia" w:ascii="宋体" w:hAnsi="宋体"/>
                      <w:color w:val="000000"/>
                      <w:spacing w:val="3"/>
                      <w:sz w:val="24"/>
                      <w:highlight w:val="none"/>
                    </w:rPr>
                    <w:t>≤F＜1</w:t>
                  </w:r>
                  <w:r>
                    <w:rPr>
                      <w:rFonts w:hint="eastAsia" w:ascii="宋体" w:hAnsi="宋体"/>
                      <w:color w:val="000000"/>
                      <w:spacing w:val="3"/>
                      <w:sz w:val="24"/>
                      <w:highlight w:val="none"/>
                      <w:lang w:val="en-US" w:eastAsia="zh-CN"/>
                    </w:rPr>
                    <w:t>2</w:t>
                  </w:r>
                  <w:r>
                    <w:rPr>
                      <w:rFonts w:hint="eastAsia" w:ascii="宋体" w:hAnsi="宋体"/>
                      <w:color w:val="000000"/>
                      <w:spacing w:val="3"/>
                      <w:sz w:val="24"/>
                      <w:highlight w:val="none"/>
                    </w:rPr>
                    <w:t>分；</w:t>
                  </w:r>
                </w:p>
                <w:p w14:paraId="395809CA">
                  <w:pPr>
                    <w:widowControl/>
                    <w:adjustRightInd w:val="0"/>
                    <w:snapToGrid w:val="0"/>
                    <w:rPr>
                      <w:rFonts w:hint="eastAsia" w:ascii="宋体" w:hAnsi="宋体"/>
                      <w:color w:val="000000"/>
                      <w:spacing w:val="3"/>
                      <w:sz w:val="24"/>
                      <w:highlight w:val="none"/>
                    </w:rPr>
                  </w:pPr>
                  <w:r>
                    <w:rPr>
                      <w:rFonts w:ascii="宋体" w:hAnsi="宋体"/>
                      <w:color w:val="000000"/>
                      <w:spacing w:val="3"/>
                      <w:sz w:val="24"/>
                      <w:highlight w:val="none"/>
                    </w:rPr>
                    <w:t>3</w:t>
                  </w:r>
                  <w:r>
                    <w:rPr>
                      <w:rFonts w:hint="eastAsia" w:ascii="宋体" w:hAnsi="宋体"/>
                      <w:color w:val="000000"/>
                      <w:spacing w:val="3"/>
                      <w:sz w:val="24"/>
                      <w:highlight w:val="none"/>
                    </w:rPr>
                    <w:t>.方案一般、文化性一般，针对性一般，得 1≤F＜</w:t>
                  </w:r>
                  <w:r>
                    <w:rPr>
                      <w:rFonts w:hint="eastAsia" w:ascii="宋体" w:hAnsi="宋体"/>
                      <w:color w:val="000000"/>
                      <w:spacing w:val="3"/>
                      <w:sz w:val="24"/>
                      <w:highlight w:val="none"/>
                      <w:lang w:val="en-US" w:eastAsia="zh-CN"/>
                    </w:rPr>
                    <w:t>6</w:t>
                  </w:r>
                  <w:r>
                    <w:rPr>
                      <w:rFonts w:hint="eastAsia" w:ascii="宋体" w:hAnsi="宋体"/>
                      <w:color w:val="000000"/>
                      <w:spacing w:val="3"/>
                      <w:sz w:val="24"/>
                      <w:highlight w:val="none"/>
                    </w:rPr>
                    <w:t>分；</w:t>
                  </w:r>
                </w:p>
                <w:p w14:paraId="3438FFFC">
                  <w:pPr>
                    <w:widowControl/>
                    <w:adjustRightInd w:val="0"/>
                    <w:snapToGrid w:val="0"/>
                    <w:rPr>
                      <w:rFonts w:hint="eastAsia" w:ascii="宋体" w:hAnsi="宋体"/>
                      <w:color w:val="000000"/>
                      <w:spacing w:val="3"/>
                      <w:sz w:val="24"/>
                      <w:highlight w:val="none"/>
                    </w:rPr>
                  </w:pPr>
                  <w:r>
                    <w:rPr>
                      <w:rFonts w:ascii="宋体" w:hAnsi="宋体"/>
                      <w:color w:val="000000"/>
                      <w:spacing w:val="3"/>
                      <w:sz w:val="24"/>
                      <w:highlight w:val="none"/>
                    </w:rPr>
                    <w:t>4</w:t>
                  </w:r>
                  <w:r>
                    <w:rPr>
                      <w:rFonts w:hint="eastAsia" w:ascii="宋体" w:hAnsi="宋体"/>
                      <w:color w:val="000000"/>
                      <w:spacing w:val="3"/>
                      <w:sz w:val="24"/>
                      <w:highlight w:val="none"/>
                    </w:rPr>
                    <w:t>.未提供得0 分。</w:t>
                  </w:r>
                </w:p>
              </w:tc>
              <w:tc>
                <w:tcPr>
                  <w:tcW w:w="1052" w:type="dxa"/>
                  <w:noWrap w:val="0"/>
                  <w:vAlign w:val="center"/>
                </w:tcPr>
                <w:p w14:paraId="6DE047A2">
                  <w:pPr>
                    <w:widowControl/>
                    <w:adjustRightInd w:val="0"/>
                    <w:snapToGrid w:val="0"/>
                    <w:ind w:left="105" w:leftChars="50"/>
                    <w:rPr>
                      <w:rFonts w:hint="eastAsia" w:ascii="宋体" w:hAnsi="宋体"/>
                      <w:color w:val="000000"/>
                      <w:spacing w:val="3"/>
                      <w:sz w:val="24"/>
                      <w:highlight w:val="none"/>
                    </w:rPr>
                  </w:pPr>
                  <w:r>
                    <w:rPr>
                      <w:rFonts w:hint="eastAsia" w:ascii="宋体" w:hAnsi="宋体"/>
                      <w:color w:val="000000"/>
                      <w:spacing w:val="3"/>
                      <w:sz w:val="24"/>
                      <w:highlight w:val="none"/>
                    </w:rPr>
                    <w:t>0-</w:t>
                  </w:r>
                  <w:r>
                    <w:rPr>
                      <w:rFonts w:hint="eastAsia" w:ascii="宋体" w:hAnsi="宋体"/>
                      <w:color w:val="000000"/>
                      <w:spacing w:val="3"/>
                      <w:sz w:val="24"/>
                      <w:highlight w:val="none"/>
                      <w:lang w:val="en-US" w:eastAsia="zh-CN"/>
                    </w:rPr>
                    <w:t>20</w:t>
                  </w:r>
                  <w:r>
                    <w:rPr>
                      <w:rFonts w:hint="eastAsia" w:ascii="宋体" w:hAnsi="宋体"/>
                      <w:color w:val="000000"/>
                      <w:spacing w:val="3"/>
                      <w:sz w:val="24"/>
                      <w:highlight w:val="none"/>
                    </w:rPr>
                    <w:t>分</w:t>
                  </w:r>
                </w:p>
              </w:tc>
            </w:tr>
            <w:tr w14:paraId="190D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jc w:val="center"/>
              </w:trPr>
              <w:tc>
                <w:tcPr>
                  <w:tcW w:w="1015" w:type="dxa"/>
                  <w:noWrap w:val="0"/>
                  <w:vAlign w:val="center"/>
                </w:tcPr>
                <w:p w14:paraId="7C2CB4B8">
                  <w:pPr>
                    <w:adjustRightInd w:val="0"/>
                    <w:snapToGrid w:val="0"/>
                    <w:ind w:left="105" w:leftChars="50"/>
                    <w:jc w:val="center"/>
                    <w:rPr>
                      <w:rFonts w:ascii="宋体" w:hAnsi="宋体" w:cs="宋体"/>
                      <w:bCs/>
                      <w:color w:val="000000"/>
                      <w:sz w:val="24"/>
                      <w:highlight w:val="none"/>
                    </w:rPr>
                  </w:pPr>
                  <w:r>
                    <w:rPr>
                      <w:rFonts w:ascii="宋体" w:hAnsi="宋体" w:cs="宋体"/>
                      <w:bCs/>
                      <w:color w:val="000000"/>
                      <w:sz w:val="24"/>
                      <w:highlight w:val="none"/>
                    </w:rPr>
                    <w:t>5</w:t>
                  </w:r>
                </w:p>
              </w:tc>
              <w:tc>
                <w:tcPr>
                  <w:tcW w:w="1185" w:type="dxa"/>
                  <w:noWrap w:val="0"/>
                  <w:vAlign w:val="center"/>
                </w:tcPr>
                <w:p w14:paraId="05A98CB7">
                  <w:pPr>
                    <w:widowControl/>
                    <w:adjustRightInd w:val="0"/>
                    <w:snapToGrid w:val="0"/>
                    <w:ind w:left="105" w:leftChars="50"/>
                    <w:jc w:val="center"/>
                    <w:rPr>
                      <w:rFonts w:hint="eastAsia" w:ascii="宋体" w:hAnsi="宋体"/>
                      <w:color w:val="000000"/>
                      <w:spacing w:val="3"/>
                      <w:sz w:val="24"/>
                      <w:highlight w:val="none"/>
                    </w:rPr>
                  </w:pPr>
                  <w:r>
                    <w:rPr>
                      <w:rFonts w:hint="eastAsia" w:ascii="宋体" w:hAnsi="宋体"/>
                      <w:color w:val="000000"/>
                      <w:spacing w:val="3"/>
                      <w:sz w:val="24"/>
                      <w:highlight w:val="none"/>
                    </w:rPr>
                    <w:t>保底报价（要求不少于</w:t>
                  </w:r>
                  <w:r>
                    <w:rPr>
                      <w:rFonts w:ascii="宋体" w:hAnsi="宋体"/>
                      <w:color w:val="000000"/>
                      <w:spacing w:val="3"/>
                      <w:sz w:val="24"/>
                      <w:highlight w:val="none"/>
                    </w:rPr>
                    <w:t>3</w:t>
                  </w:r>
                  <w:r>
                    <w:rPr>
                      <w:rFonts w:hint="eastAsia" w:ascii="宋体" w:hAnsi="宋体"/>
                      <w:color w:val="000000"/>
                      <w:spacing w:val="3"/>
                      <w:sz w:val="24"/>
                      <w:highlight w:val="none"/>
                    </w:rPr>
                    <w:t>万元）</w:t>
                  </w:r>
                </w:p>
              </w:tc>
              <w:tc>
                <w:tcPr>
                  <w:tcW w:w="6817" w:type="dxa"/>
                  <w:noWrap w:val="0"/>
                  <w:vAlign w:val="center"/>
                </w:tcPr>
                <w:p w14:paraId="2D2C3718">
                  <w:pPr>
                    <w:widowControl/>
                    <w:adjustRightInd w:val="0"/>
                    <w:snapToGrid w:val="0"/>
                    <w:rPr>
                      <w:rFonts w:hint="eastAsia" w:ascii="宋体" w:hAnsi="宋体"/>
                      <w:color w:val="000000"/>
                      <w:spacing w:val="3"/>
                      <w:sz w:val="24"/>
                      <w:highlight w:val="none"/>
                    </w:rPr>
                  </w:pPr>
                  <w:r>
                    <w:rPr>
                      <w:rFonts w:hint="eastAsia" w:ascii="宋体" w:hAnsi="宋体"/>
                      <w:color w:val="000000"/>
                      <w:spacing w:val="3"/>
                      <w:sz w:val="24"/>
                      <w:highlight w:val="none"/>
                    </w:rPr>
                    <w:t>合作方应根据自身综合能力，对招商方年度能获得的保底分成额做出报价，报价需不少于项目评估底价。以满足文件要求的有效最高保底报价作为基准价，得分</w:t>
                  </w:r>
                  <w:r>
                    <w:rPr>
                      <w:rFonts w:hint="eastAsia" w:ascii="宋体" w:hAnsi="宋体"/>
                      <w:color w:val="000000"/>
                      <w:spacing w:val="3"/>
                      <w:sz w:val="24"/>
                      <w:highlight w:val="none"/>
                      <w:lang w:val="en-US" w:eastAsia="zh-CN"/>
                    </w:rPr>
                    <w:t>20</w:t>
                  </w:r>
                  <w:r>
                    <w:rPr>
                      <w:rFonts w:hint="eastAsia" w:ascii="宋体" w:hAnsi="宋体"/>
                      <w:color w:val="000000"/>
                      <w:spacing w:val="3"/>
                      <w:sz w:val="24"/>
                      <w:highlight w:val="none"/>
                    </w:rPr>
                    <w:t>分，其他报价得分=（其他报价/基准价）×2</w:t>
                  </w:r>
                  <w:r>
                    <w:rPr>
                      <w:rFonts w:hint="eastAsia" w:ascii="宋体" w:hAnsi="宋体"/>
                      <w:color w:val="000000"/>
                      <w:spacing w:val="3"/>
                      <w:sz w:val="24"/>
                      <w:highlight w:val="none"/>
                      <w:lang w:val="en-US" w:eastAsia="zh-CN"/>
                    </w:rPr>
                    <w:t>0</w:t>
                  </w:r>
                  <w:r>
                    <w:rPr>
                      <w:rFonts w:hint="eastAsia" w:ascii="宋体" w:hAnsi="宋体"/>
                      <w:color w:val="000000"/>
                      <w:spacing w:val="3"/>
                      <w:sz w:val="24"/>
                      <w:highlight w:val="none"/>
                    </w:rPr>
                    <w:t>%×100（保留至小数点后两位）。</w:t>
                  </w:r>
                </w:p>
                <w:p w14:paraId="54A65E96">
                  <w:pPr>
                    <w:widowControl/>
                    <w:adjustRightInd w:val="0"/>
                    <w:snapToGrid w:val="0"/>
                    <w:rPr>
                      <w:rFonts w:hint="eastAsia" w:ascii="宋体" w:hAnsi="宋体"/>
                      <w:color w:val="000000"/>
                      <w:spacing w:val="3"/>
                      <w:sz w:val="24"/>
                      <w:highlight w:val="none"/>
                    </w:rPr>
                  </w:pPr>
                  <w:r>
                    <w:rPr>
                      <w:rFonts w:hint="eastAsia" w:ascii="宋体" w:hAnsi="宋体"/>
                      <w:color w:val="000000"/>
                      <w:spacing w:val="3"/>
                      <w:sz w:val="24"/>
                      <w:highlight w:val="none"/>
                    </w:rPr>
                    <w:t>注意：招商方全年分成总和大于保底报价时，招商方按照分成总和收取合作经营款，招商方全年分成总和小于等于保底报价时，招商方按照保底报价收取合作经营款，请合作方谨慎对待，慎重报价。</w:t>
                  </w:r>
                </w:p>
              </w:tc>
              <w:tc>
                <w:tcPr>
                  <w:tcW w:w="1052" w:type="dxa"/>
                  <w:noWrap w:val="0"/>
                  <w:vAlign w:val="center"/>
                </w:tcPr>
                <w:p w14:paraId="05F1871E">
                  <w:pPr>
                    <w:widowControl/>
                    <w:adjustRightInd w:val="0"/>
                    <w:snapToGrid w:val="0"/>
                    <w:ind w:left="105" w:leftChars="50"/>
                    <w:rPr>
                      <w:rFonts w:hint="eastAsia" w:ascii="宋体" w:hAnsi="宋体" w:cs="宋体"/>
                      <w:bCs/>
                      <w:color w:val="000000"/>
                      <w:sz w:val="24"/>
                      <w:highlight w:val="none"/>
                    </w:rPr>
                  </w:pPr>
                  <w:r>
                    <w:rPr>
                      <w:rFonts w:hint="eastAsia" w:ascii="宋体" w:hAnsi="宋体" w:cs="宋体"/>
                      <w:bCs/>
                      <w:color w:val="000000"/>
                      <w:sz w:val="24"/>
                      <w:highlight w:val="none"/>
                    </w:rPr>
                    <w:t>0-</w:t>
                  </w:r>
                  <w:r>
                    <w:rPr>
                      <w:rFonts w:hint="eastAsia" w:ascii="宋体" w:hAnsi="宋体" w:cs="宋体"/>
                      <w:bCs/>
                      <w:color w:val="000000"/>
                      <w:sz w:val="24"/>
                      <w:highlight w:val="none"/>
                      <w:lang w:val="en-US" w:eastAsia="zh-CN"/>
                    </w:rPr>
                    <w:t>20</w:t>
                  </w:r>
                  <w:r>
                    <w:rPr>
                      <w:rFonts w:hint="eastAsia" w:ascii="宋体" w:hAnsi="宋体" w:cs="宋体"/>
                      <w:bCs/>
                      <w:color w:val="000000"/>
                      <w:sz w:val="24"/>
                      <w:highlight w:val="none"/>
                    </w:rPr>
                    <w:t>分</w:t>
                  </w:r>
                </w:p>
              </w:tc>
            </w:tr>
            <w:tr w14:paraId="19F5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15" w:type="dxa"/>
                  <w:noWrap w:val="0"/>
                  <w:vAlign w:val="center"/>
                </w:tcPr>
                <w:p w14:paraId="3EF509BE">
                  <w:pPr>
                    <w:adjustRightInd w:val="0"/>
                    <w:snapToGrid w:val="0"/>
                    <w:ind w:left="105" w:leftChars="50"/>
                    <w:jc w:val="center"/>
                    <w:rPr>
                      <w:rFonts w:ascii="宋体" w:hAnsi="宋体" w:cs="宋体"/>
                      <w:bCs/>
                      <w:color w:val="000000"/>
                      <w:sz w:val="24"/>
                      <w:highlight w:val="none"/>
                    </w:rPr>
                  </w:pPr>
                  <w:r>
                    <w:rPr>
                      <w:rFonts w:ascii="宋体" w:hAnsi="宋体" w:cs="宋体"/>
                      <w:bCs/>
                      <w:color w:val="000000"/>
                      <w:sz w:val="24"/>
                      <w:highlight w:val="none"/>
                    </w:rPr>
                    <w:t>6</w:t>
                  </w:r>
                </w:p>
              </w:tc>
              <w:tc>
                <w:tcPr>
                  <w:tcW w:w="1185" w:type="dxa"/>
                  <w:noWrap w:val="0"/>
                  <w:vAlign w:val="center"/>
                </w:tcPr>
                <w:p w14:paraId="4D2DBB5B">
                  <w:pPr>
                    <w:widowControl/>
                    <w:adjustRightInd w:val="0"/>
                    <w:snapToGrid w:val="0"/>
                    <w:ind w:left="105" w:leftChars="50"/>
                    <w:jc w:val="center"/>
                    <w:rPr>
                      <w:rFonts w:ascii="宋体" w:hAnsi="宋体" w:cs="宋体"/>
                      <w:sz w:val="24"/>
                      <w:highlight w:val="none"/>
                    </w:rPr>
                  </w:pPr>
                  <w:r>
                    <w:rPr>
                      <w:rFonts w:hint="eastAsia" w:ascii="宋体" w:hAnsi="宋体" w:cs="宋体"/>
                      <w:sz w:val="24"/>
                      <w:highlight w:val="none"/>
                    </w:rPr>
                    <w:t>分成比例报价（要求不少于</w:t>
                  </w:r>
                  <w:r>
                    <w:rPr>
                      <w:rFonts w:hint="eastAsia" w:ascii="宋体" w:hAnsi="宋体" w:cs="宋体"/>
                      <w:sz w:val="24"/>
                      <w:highlight w:val="none"/>
                      <w:lang w:val="en-US" w:eastAsia="zh-CN"/>
                    </w:rPr>
                    <w:t>25</w:t>
                  </w:r>
                  <w:r>
                    <w:rPr>
                      <w:rFonts w:hint="eastAsia" w:ascii="宋体" w:hAnsi="宋体" w:cs="宋体"/>
                      <w:sz w:val="24"/>
                      <w:highlight w:val="none"/>
                    </w:rPr>
                    <w:t>%）</w:t>
                  </w:r>
                </w:p>
              </w:tc>
              <w:tc>
                <w:tcPr>
                  <w:tcW w:w="6817" w:type="dxa"/>
                  <w:noWrap w:val="0"/>
                  <w:vAlign w:val="center"/>
                </w:tcPr>
                <w:p w14:paraId="2FF56DAF">
                  <w:pPr>
                    <w:widowControl/>
                    <w:adjustRightInd w:val="0"/>
                    <w:snapToGrid w:val="0"/>
                    <w:rPr>
                      <w:highlight w:val="none"/>
                    </w:rPr>
                  </w:pPr>
                  <w:r>
                    <w:rPr>
                      <w:rFonts w:hint="eastAsia" w:ascii="宋体" w:hAnsi="宋体"/>
                      <w:color w:val="000000"/>
                      <w:spacing w:val="3"/>
                      <w:sz w:val="24"/>
                      <w:highlight w:val="none"/>
                    </w:rPr>
                    <w:t>招商方分成比例最低不得少于</w:t>
                  </w:r>
                  <w:r>
                    <w:rPr>
                      <w:rFonts w:hint="eastAsia" w:ascii="宋体" w:hAnsi="宋体"/>
                      <w:color w:val="000000"/>
                      <w:spacing w:val="3"/>
                      <w:sz w:val="24"/>
                      <w:highlight w:val="none"/>
                      <w:lang w:val="en-US" w:eastAsia="zh-CN"/>
                    </w:rPr>
                    <w:t>25</w:t>
                  </w:r>
                  <w:r>
                    <w:rPr>
                      <w:rFonts w:hint="eastAsia" w:ascii="宋体" w:hAnsi="宋体"/>
                      <w:color w:val="000000"/>
                      <w:spacing w:val="3"/>
                      <w:sz w:val="24"/>
                      <w:highlight w:val="none"/>
                    </w:rPr>
                    <w:t>%，以满足文件要求的有效最高招商方分成比例报价为基准价，得2</w:t>
                  </w:r>
                  <w:r>
                    <w:rPr>
                      <w:rFonts w:hint="eastAsia" w:ascii="宋体" w:hAnsi="宋体"/>
                      <w:color w:val="000000"/>
                      <w:spacing w:val="3"/>
                      <w:sz w:val="24"/>
                      <w:highlight w:val="none"/>
                      <w:lang w:val="en-US" w:eastAsia="zh-CN"/>
                    </w:rPr>
                    <w:t>0</w:t>
                  </w:r>
                  <w:r>
                    <w:rPr>
                      <w:rFonts w:hint="eastAsia" w:ascii="宋体" w:hAnsi="宋体"/>
                      <w:color w:val="000000"/>
                      <w:spacing w:val="3"/>
                      <w:sz w:val="24"/>
                      <w:highlight w:val="none"/>
                    </w:rPr>
                    <w:t>分，其他报价得分=（其他报价/基准价）×2</w:t>
                  </w:r>
                  <w:r>
                    <w:rPr>
                      <w:rFonts w:hint="eastAsia" w:ascii="宋体" w:hAnsi="宋体"/>
                      <w:color w:val="000000"/>
                      <w:spacing w:val="3"/>
                      <w:sz w:val="24"/>
                      <w:highlight w:val="none"/>
                      <w:lang w:val="en-US" w:eastAsia="zh-CN"/>
                    </w:rPr>
                    <w:t>0</w:t>
                  </w:r>
                  <w:r>
                    <w:rPr>
                      <w:rFonts w:hint="eastAsia" w:ascii="宋体" w:hAnsi="宋体"/>
                      <w:color w:val="000000"/>
                      <w:spacing w:val="3"/>
                      <w:sz w:val="24"/>
                      <w:highlight w:val="none"/>
                    </w:rPr>
                    <w:t>%×100（保留至小数点后两位）。</w:t>
                  </w:r>
                </w:p>
              </w:tc>
              <w:tc>
                <w:tcPr>
                  <w:tcW w:w="1052" w:type="dxa"/>
                  <w:noWrap w:val="0"/>
                  <w:vAlign w:val="center"/>
                </w:tcPr>
                <w:p w14:paraId="55456994">
                  <w:pPr>
                    <w:adjustRightInd w:val="0"/>
                    <w:snapToGrid w:val="0"/>
                    <w:ind w:left="105" w:leftChars="50"/>
                    <w:rPr>
                      <w:rFonts w:ascii="宋体" w:hAnsi="宋体" w:cs="宋体"/>
                      <w:bCs/>
                      <w:color w:val="000000"/>
                      <w:sz w:val="24"/>
                      <w:highlight w:val="none"/>
                    </w:rPr>
                  </w:pPr>
                  <w:r>
                    <w:rPr>
                      <w:rFonts w:hint="eastAsia" w:ascii="宋体" w:hAnsi="宋体" w:cs="宋体"/>
                      <w:bCs/>
                      <w:color w:val="000000"/>
                      <w:sz w:val="24"/>
                      <w:highlight w:val="none"/>
                    </w:rPr>
                    <w:t>0-</w:t>
                  </w:r>
                  <w:r>
                    <w:rPr>
                      <w:rFonts w:hint="eastAsia" w:ascii="宋体" w:hAnsi="宋体" w:cs="宋体"/>
                      <w:bCs/>
                      <w:color w:val="000000"/>
                      <w:sz w:val="24"/>
                      <w:highlight w:val="none"/>
                      <w:lang w:val="en-US" w:eastAsia="zh-CN"/>
                    </w:rPr>
                    <w:t>20</w:t>
                  </w:r>
                  <w:r>
                    <w:rPr>
                      <w:rFonts w:hint="eastAsia" w:ascii="宋体" w:hAnsi="宋体" w:cs="宋体"/>
                      <w:bCs/>
                      <w:color w:val="000000"/>
                      <w:sz w:val="24"/>
                      <w:highlight w:val="none"/>
                    </w:rPr>
                    <w:t>分</w:t>
                  </w:r>
                </w:p>
              </w:tc>
            </w:tr>
            <w:tr w14:paraId="7B7E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15" w:type="dxa"/>
                  <w:noWrap w:val="0"/>
                  <w:vAlign w:val="center"/>
                </w:tcPr>
                <w:p w14:paraId="377B8046">
                  <w:pPr>
                    <w:adjustRightInd w:val="0"/>
                    <w:snapToGrid w:val="0"/>
                    <w:ind w:left="105" w:leftChars="50"/>
                    <w:jc w:val="center"/>
                    <w:rPr>
                      <w:rFonts w:ascii="宋体" w:hAnsi="宋体" w:cs="宋体"/>
                      <w:b/>
                      <w:bCs/>
                      <w:color w:val="000000"/>
                      <w:sz w:val="24"/>
                      <w:highlight w:val="none"/>
                    </w:rPr>
                  </w:pPr>
                </w:p>
              </w:tc>
              <w:tc>
                <w:tcPr>
                  <w:tcW w:w="8002" w:type="dxa"/>
                  <w:gridSpan w:val="2"/>
                  <w:noWrap w:val="0"/>
                  <w:vAlign w:val="center"/>
                </w:tcPr>
                <w:p w14:paraId="3E47C959">
                  <w:pPr>
                    <w:adjustRightInd w:val="0"/>
                    <w:snapToGrid w:val="0"/>
                    <w:ind w:left="105" w:leftChars="50"/>
                    <w:rPr>
                      <w:rFonts w:hint="eastAsia" w:ascii="宋体" w:hAnsi="宋体" w:cs="宋体"/>
                      <w:b/>
                      <w:bCs/>
                      <w:color w:val="000000"/>
                      <w:sz w:val="24"/>
                      <w:highlight w:val="none"/>
                    </w:rPr>
                  </w:pPr>
                  <w:r>
                    <w:rPr>
                      <w:rFonts w:hint="eastAsia" w:ascii="宋体" w:hAnsi="宋体" w:cs="宋体"/>
                      <w:b/>
                      <w:bCs/>
                      <w:color w:val="000000"/>
                      <w:sz w:val="24"/>
                      <w:highlight w:val="none"/>
                    </w:rPr>
                    <w:t>合计（1</w:t>
                  </w:r>
                  <w:r>
                    <w:rPr>
                      <w:rFonts w:ascii="宋体" w:hAnsi="宋体" w:cs="宋体"/>
                      <w:b/>
                      <w:bCs/>
                      <w:color w:val="000000"/>
                      <w:sz w:val="24"/>
                      <w:highlight w:val="none"/>
                    </w:rPr>
                    <w:t>-6</w:t>
                  </w:r>
                  <w:r>
                    <w:rPr>
                      <w:rFonts w:hint="eastAsia" w:ascii="宋体" w:hAnsi="宋体" w:cs="宋体"/>
                      <w:b/>
                      <w:bCs/>
                      <w:color w:val="000000"/>
                      <w:sz w:val="24"/>
                      <w:highlight w:val="none"/>
                    </w:rPr>
                    <w:t>项）</w:t>
                  </w:r>
                </w:p>
              </w:tc>
              <w:tc>
                <w:tcPr>
                  <w:tcW w:w="1052" w:type="dxa"/>
                  <w:noWrap w:val="0"/>
                  <w:vAlign w:val="center"/>
                </w:tcPr>
                <w:p w14:paraId="3783BA0C">
                  <w:pPr>
                    <w:adjustRightInd w:val="0"/>
                    <w:snapToGrid w:val="0"/>
                    <w:ind w:left="105" w:leftChars="50"/>
                    <w:rPr>
                      <w:rFonts w:hint="eastAsia" w:ascii="宋体" w:hAnsi="宋体" w:cs="宋体"/>
                      <w:b/>
                      <w:bCs/>
                      <w:color w:val="000000"/>
                      <w:sz w:val="24"/>
                      <w:highlight w:val="none"/>
                    </w:rPr>
                  </w:pPr>
                  <w:r>
                    <w:rPr>
                      <w:rFonts w:hint="eastAsia" w:ascii="宋体" w:hAnsi="宋体" w:cs="宋体"/>
                      <w:b/>
                      <w:bCs/>
                      <w:color w:val="000000"/>
                      <w:sz w:val="24"/>
                      <w:highlight w:val="none"/>
                    </w:rPr>
                    <w:t>100分</w:t>
                  </w:r>
                </w:p>
              </w:tc>
            </w:tr>
          </w:tbl>
          <w:p w14:paraId="2217429C">
            <w:pPr>
              <w:pStyle w:val="11"/>
              <w:keepNext w:val="0"/>
              <w:keepLines w:val="0"/>
              <w:pageBreakBefore w:val="0"/>
              <w:widowControl w:val="0"/>
              <w:kinsoku w:val="0"/>
              <w:wordWrap/>
              <w:overflowPunct/>
              <w:topLinePunct w:val="0"/>
              <w:autoSpaceDE w:val="0"/>
              <w:autoSpaceDN w:val="0"/>
              <w:bidi w:val="0"/>
              <w:adjustRightInd w:val="0"/>
              <w:snapToGrid w:val="0"/>
              <w:spacing w:before="0" w:beforeLines="20" w:line="240" w:lineRule="auto"/>
              <w:ind w:left="105" w:leftChars="50" w:right="0" w:firstLine="0" w:firstLineChars="0"/>
              <w:jc w:val="left"/>
              <w:textAlignment w:val="baseline"/>
              <w:rPr>
                <w:color w:val="000000"/>
                <w:highlight w:val="none"/>
                <w:lang w:val="zh-CN" w:eastAsia="zh-CN"/>
              </w:rPr>
            </w:pPr>
            <w:r>
              <w:rPr>
                <w:rFonts w:hint="eastAsia"/>
                <w:color w:val="000000"/>
                <w:highlight w:val="none"/>
                <w:lang w:val="zh-CN" w:eastAsia="zh-CN"/>
              </w:rPr>
              <w:t>最终成交结果以招商结果公告为准。</w:t>
            </w:r>
          </w:p>
          <w:p w14:paraId="132C890A">
            <w:pPr>
              <w:pStyle w:val="11"/>
              <w:keepNext w:val="0"/>
              <w:keepLines w:val="0"/>
              <w:pageBreakBefore w:val="0"/>
              <w:widowControl w:val="0"/>
              <w:kinsoku w:val="0"/>
              <w:wordWrap/>
              <w:overflowPunct/>
              <w:topLinePunct w:val="0"/>
              <w:autoSpaceDE w:val="0"/>
              <w:autoSpaceDN w:val="0"/>
              <w:bidi w:val="0"/>
              <w:adjustRightInd w:val="0"/>
              <w:snapToGrid w:val="0"/>
              <w:spacing w:line="240" w:lineRule="auto"/>
              <w:ind w:right="0" w:firstLine="0" w:firstLineChars="0"/>
              <w:jc w:val="left"/>
              <w:textAlignment w:val="baseline"/>
              <w:rPr>
                <w:rFonts w:hint="eastAsia"/>
                <w:color w:val="000000"/>
                <w:highlight w:val="none"/>
                <w:lang w:eastAsia="zh-CN"/>
              </w:rPr>
            </w:pPr>
            <w:r>
              <w:rPr>
                <w:rFonts w:hint="eastAsia"/>
                <w:b/>
                <w:color w:val="000000"/>
                <w:highlight w:val="none"/>
                <w:lang w:eastAsia="zh-CN"/>
              </w:rPr>
              <w:t>注：最高报价是指不低于公告底价的最高报价。</w:t>
            </w:r>
            <w:r>
              <w:rPr>
                <w:rFonts w:hint="eastAsia"/>
                <w:color w:val="000000"/>
                <w:highlight w:val="none"/>
                <w:lang w:eastAsia="zh-CN"/>
              </w:rPr>
              <w:t xml:space="preserve"> </w:t>
            </w:r>
          </w:p>
        </w:tc>
      </w:tr>
      <w:tr w14:paraId="46B64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058" w:type="dxa"/>
            <w:noWrap w:val="0"/>
            <w:vAlign w:val="center"/>
          </w:tcPr>
          <w:p w14:paraId="1B92CB5A">
            <w:pPr>
              <w:pStyle w:val="12"/>
              <w:spacing w:before="2" w:line="310" w:lineRule="atLeast"/>
              <w:ind w:right="95"/>
              <w:jc w:val="center"/>
              <w:rPr>
                <w:rFonts w:hint="eastAsia"/>
                <w:b/>
                <w:color w:val="000000"/>
                <w:sz w:val="24"/>
                <w:highlight w:val="none"/>
              </w:rPr>
            </w:pPr>
            <w:r>
              <w:rPr>
                <w:rFonts w:hint="eastAsia"/>
                <w:color w:val="000000"/>
                <w:sz w:val="24"/>
                <w:highlight w:val="none"/>
              </w:rPr>
              <w:t>六、</w:t>
            </w:r>
            <w:r>
              <w:rPr>
                <w:rFonts w:hint="eastAsia"/>
                <w:color w:val="000000"/>
                <w:sz w:val="24"/>
                <w:highlight w:val="none"/>
                <w:lang w:val="en-US"/>
              </w:rPr>
              <w:t>合作</w:t>
            </w:r>
            <w:r>
              <w:rPr>
                <w:rFonts w:hint="eastAsia"/>
                <w:color w:val="000000"/>
                <w:sz w:val="24"/>
                <w:highlight w:val="none"/>
              </w:rPr>
              <w:t>方参与方式</w:t>
            </w:r>
          </w:p>
        </w:tc>
      </w:tr>
      <w:tr w14:paraId="2093A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10058" w:type="dxa"/>
            <w:noWrap w:val="0"/>
            <w:vAlign w:val="top"/>
          </w:tcPr>
          <w:p w14:paraId="56862CEA">
            <w:pPr>
              <w:keepNext w:val="0"/>
              <w:keepLines w:val="0"/>
              <w:pageBreakBefore w:val="0"/>
              <w:widowControl w:val="0"/>
              <w:kinsoku/>
              <w:wordWrap/>
              <w:overflowPunct/>
              <w:topLinePunct w:val="0"/>
              <w:autoSpaceDE/>
              <w:autoSpaceDN/>
              <w:bidi w:val="0"/>
              <w:adjustRightInd/>
              <w:snapToGrid/>
              <w:spacing w:before="0" w:beforeLines="20"/>
              <w:ind w:left="105" w:leftChars="50"/>
              <w:textAlignment w:val="auto"/>
              <w:rPr>
                <w:rFonts w:hint="eastAsia"/>
                <w:color w:val="000000"/>
                <w:highlight w:val="none"/>
              </w:rPr>
            </w:pPr>
            <w:r>
              <w:rPr>
                <w:rFonts w:hint="eastAsia" w:ascii="宋体" w:hAnsi="宋体" w:cs="宋体"/>
                <w:color w:val="000000"/>
                <w:sz w:val="24"/>
                <w:highlight w:val="none"/>
                <w:lang w:bidi="zh-CN"/>
              </w:rPr>
              <w:t>登录合肥文旅博览集团网站</w:t>
            </w:r>
            <w:r>
              <w:rPr>
                <w:rFonts w:hint="eastAsia" w:ascii="宋体" w:hAnsi="宋体"/>
                <w:bCs/>
                <w:color w:val="000000"/>
                <w:sz w:val="24"/>
                <w:highlight w:val="none"/>
              </w:rPr>
              <w:t>http://www.zwzcgl.com/index/lists/008002</w:t>
            </w:r>
            <w:r>
              <w:rPr>
                <w:rFonts w:hint="eastAsia" w:ascii="宋体" w:hAnsi="宋体" w:cs="宋体"/>
                <w:color w:val="000000"/>
                <w:sz w:val="24"/>
                <w:highlight w:val="none"/>
                <w:lang w:bidi="zh-CN"/>
              </w:rPr>
              <w:t>下载附件</w:t>
            </w:r>
            <w:r>
              <w:rPr>
                <w:rFonts w:hint="eastAsia" w:ascii="宋体" w:hAnsi="宋体" w:cs="宋体"/>
                <w:b/>
                <w:bCs/>
                <w:color w:val="000000"/>
                <w:sz w:val="24"/>
                <w:highlight w:val="none"/>
                <w:lang w:bidi="zh-CN"/>
              </w:rPr>
              <w:t>《招商报名信息表》</w:t>
            </w:r>
            <w:r>
              <w:rPr>
                <w:rFonts w:hint="eastAsia" w:ascii="宋体" w:hAnsi="宋体" w:cs="宋体"/>
                <w:color w:val="000000"/>
                <w:sz w:val="24"/>
                <w:highlight w:val="none"/>
                <w:lang w:bidi="zh-CN"/>
              </w:rPr>
              <w:t>完整填写信息，在公告期内（202</w:t>
            </w:r>
            <w:r>
              <w:rPr>
                <w:rFonts w:hint="eastAsia" w:ascii="宋体" w:hAnsi="宋体" w:cs="宋体"/>
                <w:color w:val="000000"/>
                <w:sz w:val="24"/>
                <w:highlight w:val="none"/>
                <w:lang w:val="en-US" w:bidi="zh-CN"/>
              </w:rPr>
              <w:t>6</w:t>
            </w:r>
            <w:r>
              <w:rPr>
                <w:rFonts w:hint="eastAsia" w:ascii="宋体" w:hAnsi="宋体" w:cs="宋体"/>
                <w:color w:val="000000"/>
                <w:sz w:val="24"/>
                <w:highlight w:val="none"/>
                <w:lang w:bidi="zh-CN"/>
              </w:rPr>
              <w:t>年</w:t>
            </w:r>
            <w:r>
              <w:rPr>
                <w:rFonts w:hint="eastAsia" w:ascii="宋体" w:hAnsi="宋体" w:cs="宋体"/>
                <w:color w:val="000000"/>
                <w:sz w:val="24"/>
                <w:highlight w:val="none"/>
                <w:lang w:val="en-US" w:bidi="zh-CN"/>
              </w:rPr>
              <w:t>3</w:t>
            </w:r>
            <w:r>
              <w:rPr>
                <w:rFonts w:hint="eastAsia" w:ascii="宋体" w:hAnsi="宋体" w:cs="宋体"/>
                <w:color w:val="000000"/>
                <w:sz w:val="24"/>
                <w:highlight w:val="none"/>
                <w:lang w:bidi="zh-CN"/>
              </w:rPr>
              <w:t>月</w:t>
            </w:r>
            <w:r>
              <w:rPr>
                <w:rFonts w:hint="eastAsia" w:ascii="宋体" w:hAnsi="宋体" w:cs="宋体"/>
                <w:color w:val="000000"/>
                <w:sz w:val="24"/>
                <w:highlight w:val="none"/>
                <w:lang w:val="en-US" w:bidi="zh-CN"/>
              </w:rPr>
              <w:t>30</w:t>
            </w:r>
            <w:r>
              <w:rPr>
                <w:rFonts w:hint="eastAsia" w:ascii="宋体" w:hAnsi="宋体" w:cs="宋体"/>
                <w:color w:val="000000"/>
                <w:sz w:val="24"/>
                <w:highlight w:val="none"/>
                <w:lang w:bidi="zh-CN"/>
              </w:rPr>
              <w:t>日17：00前）发送至邮箱：</w:t>
            </w:r>
            <w:r>
              <w:rPr>
                <w:rFonts w:ascii="宋体" w:hAnsi="宋体" w:cs="宋体"/>
                <w:color w:val="000000"/>
                <w:sz w:val="24"/>
                <w:highlight w:val="none"/>
                <w:lang w:bidi="zh-CN"/>
              </w:rPr>
              <w:fldChar w:fldCharType="begin"/>
            </w:r>
            <w:r>
              <w:rPr>
                <w:rFonts w:ascii="宋体" w:hAnsi="宋体" w:cs="宋体"/>
                <w:color w:val="000000"/>
                <w:sz w:val="24"/>
                <w:highlight w:val="none"/>
                <w:lang w:bidi="zh-CN"/>
              </w:rPr>
              <w:instrText xml:space="preserve"> HYPERLINK "mailto:</w:instrText>
            </w:r>
            <w:r>
              <w:rPr>
                <w:rFonts w:hint="eastAsia" w:ascii="宋体" w:hAnsi="宋体" w:cs="宋体"/>
                <w:color w:val="000000"/>
                <w:sz w:val="24"/>
                <w:highlight w:val="none"/>
                <w:lang w:bidi="zh-CN"/>
              </w:rPr>
              <w:instrText xml:space="preserve">1</w:instrText>
            </w:r>
            <w:r>
              <w:rPr>
                <w:rFonts w:ascii="宋体" w:hAnsi="宋体" w:cs="宋体"/>
                <w:color w:val="000000"/>
                <w:sz w:val="24"/>
                <w:highlight w:val="none"/>
                <w:lang w:bidi="zh-CN"/>
              </w:rPr>
              <w:instrText xml:space="preserve">8756920218@163.com" </w:instrText>
            </w:r>
            <w:r>
              <w:rPr>
                <w:rFonts w:ascii="宋体" w:hAnsi="宋体" w:cs="宋体"/>
                <w:color w:val="000000"/>
                <w:sz w:val="24"/>
                <w:highlight w:val="none"/>
                <w:lang w:bidi="zh-CN"/>
              </w:rPr>
              <w:fldChar w:fldCharType="separate"/>
            </w:r>
            <w:r>
              <w:rPr>
                <w:rStyle w:val="10"/>
                <w:rFonts w:hint="eastAsia" w:ascii="宋体" w:hAnsi="宋体" w:cs="宋体"/>
                <w:sz w:val="24"/>
                <w:highlight w:val="none"/>
                <w:lang w:bidi="zh-CN"/>
              </w:rPr>
              <w:t>1</w:t>
            </w:r>
            <w:r>
              <w:rPr>
                <w:rStyle w:val="10"/>
                <w:rFonts w:ascii="宋体" w:hAnsi="宋体" w:cs="宋体"/>
                <w:sz w:val="24"/>
                <w:highlight w:val="none"/>
                <w:lang w:bidi="zh-CN"/>
              </w:rPr>
              <w:t>8756920218@163.com</w:t>
            </w:r>
            <w:r>
              <w:rPr>
                <w:rFonts w:ascii="宋体" w:hAnsi="宋体" w:cs="宋体"/>
                <w:color w:val="000000"/>
                <w:sz w:val="24"/>
                <w:highlight w:val="none"/>
                <w:lang w:bidi="zh-CN"/>
              </w:rPr>
              <w:fldChar w:fldCharType="end"/>
            </w:r>
            <w:r>
              <w:rPr>
                <w:rFonts w:ascii="宋体" w:hAnsi="宋体" w:cs="宋体"/>
                <w:color w:val="000000"/>
                <w:sz w:val="24"/>
                <w:highlight w:val="none"/>
                <w:lang w:bidi="zh-CN"/>
              </w:rPr>
              <w:t xml:space="preserve"> </w:t>
            </w:r>
            <w:r>
              <w:rPr>
                <w:rFonts w:hint="eastAsia" w:ascii="宋体" w:hAnsi="宋体" w:cs="宋体"/>
                <w:color w:val="000000"/>
                <w:sz w:val="24"/>
                <w:highlight w:val="none"/>
                <w:u w:val="single"/>
                <w:lang w:bidi="zh-CN"/>
              </w:rPr>
              <w:fldChar w:fldCharType="begin"/>
            </w:r>
            <w:r>
              <w:rPr>
                <w:rFonts w:hint="eastAsia" w:ascii="宋体" w:hAnsi="宋体" w:cs="宋体"/>
                <w:color w:val="000000"/>
                <w:sz w:val="24"/>
                <w:highlight w:val="none"/>
                <w:u w:val="single"/>
                <w:lang w:bidi="zh-CN"/>
              </w:rPr>
              <w:instrText xml:space="preserve"> HYPERLINK "mailto:942219419@qq.com。" </w:instrText>
            </w:r>
            <w:r>
              <w:rPr>
                <w:rFonts w:hint="eastAsia" w:ascii="宋体" w:hAnsi="宋体" w:cs="宋体"/>
                <w:color w:val="000000"/>
                <w:sz w:val="24"/>
                <w:highlight w:val="none"/>
                <w:u w:val="single"/>
                <w:lang w:bidi="zh-CN"/>
              </w:rPr>
              <w:fldChar w:fldCharType="separate"/>
            </w:r>
            <w:r>
              <w:rPr>
                <w:rFonts w:hint="eastAsia" w:ascii="宋体" w:hAnsi="宋体" w:cs="宋体"/>
                <w:color w:val="000000"/>
                <w:sz w:val="24"/>
                <w:highlight w:val="none"/>
                <w:u w:val="single"/>
                <w:lang w:bidi="zh-CN"/>
              </w:rPr>
              <w:fldChar w:fldCharType="end"/>
            </w:r>
          </w:p>
        </w:tc>
      </w:tr>
    </w:tbl>
    <w:p w14:paraId="73BADF1F">
      <w:pPr>
        <w:rPr>
          <w:vanish/>
          <w:highlight w:val="none"/>
        </w:rPr>
      </w:pPr>
    </w:p>
    <w:tbl>
      <w:tblPr>
        <w:tblStyle w:val="8"/>
        <w:tblW w:w="10058"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9"/>
        <w:gridCol w:w="8639"/>
      </w:tblGrid>
      <w:tr w14:paraId="3799A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58" w:type="dxa"/>
            <w:gridSpan w:val="2"/>
            <w:noWrap w:val="0"/>
            <w:vAlign w:val="top"/>
          </w:tcPr>
          <w:p w14:paraId="51346DAA">
            <w:pPr>
              <w:pStyle w:val="11"/>
              <w:spacing w:before="116" w:line="214" w:lineRule="auto"/>
              <w:ind w:left="3671"/>
              <w:rPr>
                <w:highlight w:val="none"/>
                <w:lang w:eastAsia="zh-CN"/>
              </w:rPr>
            </w:pPr>
            <w:r>
              <w:rPr>
                <w:rFonts w:hint="eastAsia"/>
                <w:spacing w:val="-2"/>
                <w:highlight w:val="none"/>
                <w:lang w:eastAsia="zh-CN"/>
              </w:rPr>
              <w:t>七</w:t>
            </w:r>
            <w:r>
              <w:rPr>
                <w:spacing w:val="-2"/>
                <w:highlight w:val="none"/>
                <w:lang w:eastAsia="zh-CN"/>
              </w:rPr>
              <w:t>、</w:t>
            </w:r>
            <w:r>
              <w:rPr>
                <w:rFonts w:hint="eastAsia"/>
                <w:color w:val="000000"/>
                <w:highlight w:val="none"/>
                <w:lang w:eastAsia="zh-CN" w:bidi="zh-CN"/>
              </w:rPr>
              <w:t>合作方需提供的材料</w:t>
            </w:r>
          </w:p>
        </w:tc>
      </w:tr>
      <w:tr w14:paraId="2DC59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19" w:type="dxa"/>
            <w:noWrap w:val="0"/>
            <w:vAlign w:val="center"/>
          </w:tcPr>
          <w:p w14:paraId="5337ACB0">
            <w:pPr>
              <w:pStyle w:val="11"/>
              <w:spacing w:line="223" w:lineRule="auto"/>
              <w:ind w:firstLine="240" w:firstLineChars="100"/>
              <w:jc w:val="center"/>
              <w:rPr>
                <w:highlight w:val="none"/>
              </w:rPr>
            </w:pPr>
            <w:r>
              <w:rPr>
                <w:rFonts w:hint="eastAsia"/>
                <w:color w:val="000000"/>
                <w:highlight w:val="none"/>
                <w:lang w:eastAsia="zh-CN"/>
              </w:rPr>
              <w:t>报送材料</w:t>
            </w:r>
          </w:p>
        </w:tc>
        <w:tc>
          <w:tcPr>
            <w:tcW w:w="8639" w:type="dxa"/>
            <w:noWrap w:val="0"/>
            <w:vAlign w:val="top"/>
          </w:tcPr>
          <w:p w14:paraId="66D81FAA">
            <w:pPr>
              <w:pStyle w:val="7"/>
              <w:keepNext w:val="0"/>
              <w:keepLines w:val="0"/>
              <w:pageBreakBefore w:val="0"/>
              <w:widowControl w:val="0"/>
              <w:kinsoku/>
              <w:wordWrap/>
              <w:overflowPunct/>
              <w:topLinePunct w:val="0"/>
              <w:autoSpaceDE/>
              <w:autoSpaceDN/>
              <w:bidi w:val="0"/>
              <w:adjustRightInd/>
              <w:snapToGrid/>
              <w:spacing w:before="0" w:beforeLines="20" w:after="0"/>
              <w:ind w:left="105" w:leftChars="50" w:firstLine="0" w:firstLineChars="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（一）意向合作方应提供的材料，包含但不限于以下内容：</w:t>
            </w:r>
          </w:p>
          <w:p w14:paraId="40C88484">
            <w:pPr>
              <w:pStyle w:val="7"/>
              <w:spacing w:after="0"/>
              <w:ind w:left="105" w:leftChars="50" w:firstLine="0" w:firstLineChars="0"/>
              <w:rPr>
                <w:rFonts w:hint="eastAsia" w:ascii="宋体" w:hAnsi="宋体" w:cs="宋体"/>
                <w:color w:val="000000"/>
                <w:sz w:val="24"/>
                <w:szCs w:val="24"/>
                <w:highlight w:val="none"/>
              </w:rPr>
            </w:pPr>
            <w:r>
              <w:rPr>
                <w:rFonts w:hint="eastAsia" w:ascii="宋体" w:hAnsi="宋体" w:cs="宋体"/>
                <w:color w:val="000000"/>
                <w:sz w:val="24"/>
                <w:szCs w:val="24"/>
                <w:highlight w:val="none"/>
              </w:rPr>
              <w:t>1.主体资格证明文件：</w:t>
            </w:r>
          </w:p>
          <w:p w14:paraId="60FA5F6C">
            <w:pPr>
              <w:pStyle w:val="7"/>
              <w:spacing w:after="0"/>
              <w:ind w:left="105" w:leftChars="50" w:firstLine="0" w:firstLineChars="0"/>
              <w:rPr>
                <w:rFonts w:hint="eastAsia" w:ascii="宋体" w:hAnsi="宋体" w:cs="宋体"/>
                <w:color w:val="000000"/>
                <w:sz w:val="24"/>
                <w:szCs w:val="24"/>
                <w:highlight w:val="none"/>
              </w:rPr>
            </w:pPr>
            <w:r>
              <w:rPr>
                <w:rFonts w:hint="eastAsia" w:ascii="宋体" w:hAnsi="宋体" w:cs="宋体"/>
                <w:color w:val="000000"/>
                <w:sz w:val="24"/>
                <w:szCs w:val="24"/>
                <w:highlight w:val="none"/>
              </w:rPr>
              <w:t>（1）企业法人登记证书副本复印件或营业执照副本复印件；</w:t>
            </w:r>
          </w:p>
          <w:p w14:paraId="4F68EDAE">
            <w:pPr>
              <w:pStyle w:val="7"/>
              <w:spacing w:after="0"/>
              <w:ind w:left="105" w:leftChars="50" w:firstLine="0" w:firstLineChars="0"/>
              <w:rPr>
                <w:rFonts w:hint="eastAsia" w:ascii="宋体" w:hAnsi="宋体" w:cs="宋体"/>
                <w:color w:val="000000"/>
                <w:sz w:val="24"/>
                <w:szCs w:val="24"/>
                <w:highlight w:val="none"/>
              </w:rPr>
            </w:pPr>
            <w:r>
              <w:rPr>
                <w:rFonts w:hint="eastAsia" w:ascii="宋体" w:hAnsi="宋体" w:cs="宋体"/>
                <w:color w:val="000000"/>
                <w:sz w:val="24"/>
                <w:szCs w:val="24"/>
                <w:highlight w:val="none"/>
              </w:rPr>
              <w:t>（2）法定代表人或委托代理人身份证复印件及授权委托书；</w:t>
            </w:r>
          </w:p>
          <w:p w14:paraId="346B173C">
            <w:pPr>
              <w:pStyle w:val="7"/>
              <w:spacing w:after="0"/>
              <w:ind w:left="105" w:leftChars="50" w:firstLine="0" w:firstLineChars="0"/>
              <w:rPr>
                <w:rFonts w:hint="eastAsia" w:ascii="宋体" w:hAnsi="宋体" w:cs="宋体"/>
                <w:color w:val="000000"/>
                <w:sz w:val="24"/>
                <w:szCs w:val="24"/>
                <w:highlight w:val="none"/>
              </w:rPr>
            </w:pPr>
            <w:r>
              <w:rPr>
                <w:rFonts w:hint="eastAsia" w:ascii="宋体" w:hAnsi="宋体" w:cs="宋体"/>
                <w:color w:val="000000"/>
                <w:sz w:val="24"/>
                <w:szCs w:val="24"/>
                <w:highlight w:val="none"/>
              </w:rPr>
              <w:t>（3）合作方认为必要的其他证明资料，例如合作方信用承诺</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信用查询截图</w:t>
            </w:r>
            <w:r>
              <w:rPr>
                <w:rFonts w:hint="eastAsia" w:ascii="宋体" w:hAnsi="宋体" w:cs="宋体"/>
                <w:color w:val="000000"/>
                <w:sz w:val="24"/>
                <w:szCs w:val="24"/>
                <w:highlight w:val="none"/>
              </w:rPr>
              <w:t xml:space="preserve">等。  </w:t>
            </w:r>
          </w:p>
          <w:p w14:paraId="33AA2022">
            <w:pPr>
              <w:pStyle w:val="7"/>
              <w:spacing w:after="0"/>
              <w:ind w:left="105" w:leftChars="50" w:firstLine="0" w:firstLineChars="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2.业绩证明材料及各类设计方案或样品；                                      </w:t>
            </w:r>
          </w:p>
          <w:p w14:paraId="0FDC014B">
            <w:pPr>
              <w:pStyle w:val="7"/>
              <w:spacing w:after="0"/>
              <w:ind w:left="105" w:leftChars="50" w:firstLine="0" w:firstLineChars="0"/>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rPr>
              <w:t>3.报价单（报价单须加盖单位公章）</w:t>
            </w:r>
            <w:r>
              <w:rPr>
                <w:rFonts w:hint="eastAsia" w:ascii="宋体" w:hAnsi="宋体" w:cs="宋体"/>
                <w:color w:val="000000"/>
                <w:sz w:val="24"/>
                <w:szCs w:val="24"/>
                <w:highlight w:val="none"/>
                <w:shd w:val="clear" w:color="auto" w:fill="FFFFFF"/>
              </w:rPr>
              <w:t>。</w:t>
            </w:r>
          </w:p>
          <w:p w14:paraId="1EFEFF9A">
            <w:pPr>
              <w:pStyle w:val="7"/>
              <w:spacing w:after="0"/>
              <w:ind w:left="105" w:leftChars="50" w:firstLine="0" w:firstLineChars="0"/>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所有材料必须密封包装，包装上标注“合肥野生动物园导览图、纪念票自助打印项目”字样并清楚标明意向合作方的名称及联系方式</w:t>
            </w:r>
            <w:r>
              <w:rPr>
                <w:rFonts w:hint="eastAsia" w:ascii="宋体" w:hAnsi="宋体" w:cs="宋体"/>
                <w:color w:val="000000"/>
                <w:sz w:val="24"/>
                <w:szCs w:val="24"/>
                <w:highlight w:val="none"/>
                <w:shd w:val="clear" w:color="auto" w:fill="FFFFFF"/>
                <w:lang w:eastAsia="zh-CN"/>
              </w:rPr>
              <w:t>，</w:t>
            </w:r>
            <w:r>
              <w:rPr>
                <w:rFonts w:hint="eastAsia" w:ascii="宋体" w:hAnsi="宋体" w:cs="宋体"/>
                <w:color w:val="000000"/>
                <w:sz w:val="24"/>
                <w:szCs w:val="24"/>
                <w:highlight w:val="none"/>
                <w:shd w:val="clear" w:color="auto" w:fill="FFFFFF"/>
                <w:lang w:val="en-US" w:eastAsia="zh-CN"/>
              </w:rPr>
              <w:t>材料需准备正本和副本两份</w:t>
            </w:r>
            <w:r>
              <w:rPr>
                <w:rFonts w:hint="eastAsia" w:ascii="宋体" w:hAnsi="宋体" w:cs="宋体"/>
                <w:color w:val="000000"/>
                <w:sz w:val="24"/>
                <w:szCs w:val="24"/>
                <w:highlight w:val="none"/>
                <w:shd w:val="clear" w:color="auto" w:fill="FFFFFF"/>
              </w:rPr>
              <w:t>，同时加盖单位公章。</w:t>
            </w:r>
          </w:p>
          <w:p w14:paraId="2240568F">
            <w:pPr>
              <w:pStyle w:val="7"/>
              <w:spacing w:after="0"/>
              <w:ind w:left="105" w:leftChars="50" w:firstLine="0" w:firstLineChars="0"/>
              <w:rPr>
                <w:rFonts w:hint="default" w:ascii="宋体" w:hAnsi="宋体" w:cs="宋体"/>
                <w:color w:val="000000"/>
                <w:sz w:val="24"/>
                <w:szCs w:val="24"/>
                <w:highlight w:val="none"/>
                <w:shd w:val="clear" w:color="auto" w:fill="FFFFFF"/>
                <w:lang w:val="en-US"/>
              </w:rPr>
            </w:pPr>
            <w:r>
              <w:rPr>
                <w:rFonts w:hint="eastAsia" w:ascii="宋体" w:hAnsi="宋体" w:cs="宋体"/>
                <w:color w:val="000000"/>
                <w:sz w:val="24"/>
                <w:szCs w:val="24"/>
                <w:highlight w:val="none"/>
                <w:shd w:val="clear" w:color="auto" w:fill="FFFFFF"/>
              </w:rPr>
              <w:t>4.报价材料的送达地点：合肥市高新区望江西路600号合肥野生动物园商业管理部，报送截止时间为：</w:t>
            </w:r>
            <w:bookmarkStart w:id="0" w:name="_GoBack"/>
            <w:r>
              <w:rPr>
                <w:rFonts w:hint="eastAsia" w:ascii="宋体" w:hAnsi="宋体" w:cs="宋体"/>
                <w:color w:val="000000"/>
                <w:sz w:val="24"/>
                <w:szCs w:val="24"/>
                <w:highlight w:val="none"/>
                <w:shd w:val="clear" w:color="auto" w:fill="FFFFFF"/>
              </w:rPr>
              <w:t>202</w:t>
            </w:r>
            <w:r>
              <w:rPr>
                <w:rFonts w:hint="eastAsia" w:ascii="宋体" w:hAnsi="宋体" w:cs="宋体"/>
                <w:color w:val="000000"/>
                <w:sz w:val="24"/>
                <w:szCs w:val="24"/>
                <w:highlight w:val="none"/>
                <w:shd w:val="clear" w:color="auto" w:fill="FFFFFF"/>
                <w:lang w:val="en-US" w:eastAsia="zh-CN"/>
              </w:rPr>
              <w:t>6</w:t>
            </w:r>
            <w:r>
              <w:rPr>
                <w:rFonts w:hint="eastAsia" w:ascii="宋体" w:hAnsi="宋体" w:cs="宋体"/>
                <w:color w:val="000000"/>
                <w:sz w:val="24"/>
                <w:szCs w:val="24"/>
                <w:highlight w:val="none"/>
                <w:shd w:val="clear" w:color="auto" w:fill="FFFFFF"/>
              </w:rPr>
              <w:t>年</w:t>
            </w:r>
            <w:r>
              <w:rPr>
                <w:rFonts w:hint="eastAsia" w:ascii="宋体" w:hAnsi="宋体" w:cs="宋体"/>
                <w:color w:val="000000"/>
                <w:sz w:val="24"/>
                <w:szCs w:val="24"/>
                <w:highlight w:val="none"/>
                <w:shd w:val="clear" w:color="auto" w:fill="FFFFFF"/>
                <w:lang w:val="en-US" w:eastAsia="zh-CN"/>
              </w:rPr>
              <w:t>3</w:t>
            </w:r>
            <w:r>
              <w:rPr>
                <w:rFonts w:hint="eastAsia" w:ascii="宋体" w:hAnsi="宋体" w:cs="宋体"/>
                <w:color w:val="000000"/>
                <w:sz w:val="24"/>
                <w:szCs w:val="24"/>
                <w:highlight w:val="none"/>
                <w:shd w:val="clear" w:color="auto" w:fill="FFFFFF"/>
              </w:rPr>
              <w:t>月</w:t>
            </w:r>
            <w:r>
              <w:rPr>
                <w:rFonts w:hint="eastAsia" w:ascii="宋体" w:hAnsi="宋体" w:cs="宋体"/>
                <w:color w:val="000000"/>
                <w:sz w:val="24"/>
                <w:szCs w:val="24"/>
                <w:highlight w:val="none"/>
                <w:shd w:val="clear" w:color="auto" w:fill="FFFFFF"/>
                <w:lang w:val="en-US" w:eastAsia="zh-CN"/>
              </w:rPr>
              <w:t>31</w:t>
            </w:r>
            <w:r>
              <w:rPr>
                <w:rFonts w:hint="eastAsia" w:ascii="宋体" w:hAnsi="宋体" w:cs="宋体"/>
                <w:color w:val="000000"/>
                <w:sz w:val="24"/>
                <w:szCs w:val="24"/>
                <w:highlight w:val="none"/>
                <w:shd w:val="clear" w:color="auto" w:fill="FFFFFF"/>
              </w:rPr>
              <w:t>日</w:t>
            </w:r>
            <w:r>
              <w:rPr>
                <w:rFonts w:hint="eastAsia" w:ascii="宋体" w:hAnsi="宋体" w:cs="宋体"/>
                <w:color w:val="000000"/>
                <w:sz w:val="24"/>
                <w:szCs w:val="24"/>
                <w:highlight w:val="none"/>
                <w:shd w:val="clear" w:color="auto" w:fill="FFFFFF"/>
                <w:lang w:val="en-US" w:eastAsia="zh-CN"/>
              </w:rPr>
              <w:t xml:space="preserve"> 上午8：30</w:t>
            </w:r>
          </w:p>
          <w:bookmarkEnd w:id="0"/>
          <w:p w14:paraId="0B59BACF">
            <w:pPr>
              <w:pStyle w:val="11"/>
              <w:ind w:left="105" w:leftChars="50"/>
              <w:rPr>
                <w:rFonts w:hint="eastAsia"/>
                <w:color w:val="000000"/>
                <w:highlight w:val="none"/>
                <w:lang w:eastAsia="zh-CN"/>
              </w:rPr>
            </w:pPr>
            <w:r>
              <w:rPr>
                <w:rFonts w:hint="eastAsia"/>
                <w:color w:val="000000"/>
                <w:highlight w:val="none"/>
                <w:shd w:val="clear" w:color="auto" w:fill="FFFFFF"/>
                <w:lang w:eastAsia="zh-CN"/>
              </w:rPr>
              <w:t>在本公告要求提交材料的截止时间之后送达或未封装的报价材料，合肥文旅博览集团野生动物园管理有限公司拒绝接收。</w:t>
            </w:r>
            <w:r>
              <w:rPr>
                <w:rFonts w:hint="eastAsia"/>
                <w:color w:val="000000"/>
                <w:spacing w:val="-6"/>
                <w:highlight w:val="none"/>
                <w:lang w:eastAsia="zh-CN"/>
              </w:rPr>
              <w:t xml:space="preserve">联系人：王工，联系电话： </w:t>
            </w:r>
            <w:r>
              <w:rPr>
                <w:rFonts w:hint="eastAsia"/>
                <w:color w:val="000000"/>
                <w:highlight w:val="none"/>
                <w:lang w:eastAsia="zh-CN"/>
              </w:rPr>
              <w:t>0551-65395636。</w:t>
            </w:r>
          </w:p>
        </w:tc>
      </w:tr>
    </w:tbl>
    <w:p w14:paraId="10BE90CA">
      <w:pPr>
        <w:rPr>
          <w:vanish/>
          <w:highlight w:val="none"/>
        </w:rPr>
      </w:pPr>
    </w:p>
    <w:tbl>
      <w:tblPr>
        <w:tblStyle w:val="8"/>
        <w:tblW w:w="10058"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4"/>
        <w:gridCol w:w="8714"/>
      </w:tblGrid>
      <w:tr w14:paraId="29251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058" w:type="dxa"/>
            <w:gridSpan w:val="2"/>
            <w:tcBorders>
              <w:top w:val="single" w:color="auto" w:sz="4" w:space="0"/>
              <w:left w:val="single" w:color="auto" w:sz="4" w:space="0"/>
              <w:bottom w:val="single" w:color="auto" w:sz="4" w:space="0"/>
              <w:right w:val="single" w:color="auto" w:sz="4" w:space="0"/>
            </w:tcBorders>
            <w:noWrap w:val="0"/>
            <w:vAlign w:val="center"/>
          </w:tcPr>
          <w:p w14:paraId="06AB39DA">
            <w:pPr>
              <w:pStyle w:val="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八、招商结束后相关程序</w:t>
            </w:r>
          </w:p>
        </w:tc>
      </w:tr>
      <w:tr w14:paraId="1DA4F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344" w:type="dxa"/>
            <w:tcBorders>
              <w:top w:val="single" w:color="auto" w:sz="4" w:space="0"/>
              <w:left w:val="single" w:color="auto" w:sz="4" w:space="0"/>
              <w:bottom w:val="single" w:color="auto" w:sz="4" w:space="0"/>
              <w:right w:val="single" w:color="auto" w:sz="4" w:space="0"/>
            </w:tcBorders>
            <w:noWrap w:val="0"/>
            <w:vAlign w:val="center"/>
          </w:tcPr>
          <w:p w14:paraId="026BF981">
            <w:pPr>
              <w:pStyle w:val="7"/>
              <w:ind w:left="0" w:leftChars="0" w:firstLine="0" w:firstLineChars="0"/>
              <w:jc w:val="center"/>
              <w:rPr>
                <w:rFonts w:hint="eastAsia" w:ascii="宋体" w:hAnsi="宋体" w:cs="宋体"/>
                <w:color w:val="000000"/>
                <w:sz w:val="24"/>
                <w:szCs w:val="24"/>
                <w:highlight w:val="none"/>
                <w:lang w:bidi="zh-CN"/>
              </w:rPr>
            </w:pPr>
            <w:r>
              <w:rPr>
                <w:rFonts w:hint="eastAsia" w:ascii="宋体" w:hAnsi="宋体" w:cs="宋体"/>
                <w:color w:val="000000"/>
                <w:sz w:val="24"/>
                <w:szCs w:val="24"/>
                <w:highlight w:val="none"/>
                <w:lang w:bidi="zh-CN"/>
              </w:rPr>
              <w:t>成交公告</w:t>
            </w:r>
          </w:p>
        </w:tc>
        <w:tc>
          <w:tcPr>
            <w:tcW w:w="8714" w:type="dxa"/>
            <w:tcBorders>
              <w:top w:val="single" w:color="auto" w:sz="4" w:space="0"/>
              <w:left w:val="single" w:color="auto" w:sz="4" w:space="0"/>
              <w:bottom w:val="single" w:color="auto" w:sz="4" w:space="0"/>
              <w:right w:val="single" w:color="auto" w:sz="4" w:space="0"/>
            </w:tcBorders>
            <w:noWrap w:val="0"/>
            <w:vAlign w:val="top"/>
          </w:tcPr>
          <w:p w14:paraId="0F17F615">
            <w:pPr>
              <w:pStyle w:val="7"/>
              <w:keepNext w:val="0"/>
              <w:keepLines w:val="0"/>
              <w:pageBreakBefore w:val="0"/>
              <w:widowControl w:val="0"/>
              <w:kinsoku/>
              <w:wordWrap/>
              <w:overflowPunct/>
              <w:topLinePunct w:val="0"/>
              <w:autoSpaceDE/>
              <w:autoSpaceDN/>
              <w:bidi w:val="0"/>
              <w:adjustRightInd/>
              <w:snapToGrid/>
              <w:spacing w:before="0" w:beforeLines="20" w:after="0"/>
              <w:ind w:left="105" w:leftChars="50" w:firstLine="0" w:firstLineChars="0"/>
              <w:textAlignment w:val="auto"/>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招商结束且无异常情况，合肥文旅博览集团野生动物园管理有限公司将在合肥文旅博览集团官网发布招商结果公告，公示期3个工作日。</w:t>
            </w:r>
          </w:p>
        </w:tc>
      </w:tr>
      <w:tr w14:paraId="3FA67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344" w:type="dxa"/>
            <w:tcBorders>
              <w:top w:val="single" w:color="auto" w:sz="4" w:space="0"/>
              <w:left w:val="single" w:color="auto" w:sz="4" w:space="0"/>
              <w:bottom w:val="single" w:color="auto" w:sz="4" w:space="0"/>
              <w:right w:val="single" w:color="auto" w:sz="4" w:space="0"/>
            </w:tcBorders>
            <w:noWrap w:val="0"/>
            <w:vAlign w:val="center"/>
          </w:tcPr>
          <w:p w14:paraId="5B52F834">
            <w:pPr>
              <w:pStyle w:val="7"/>
              <w:ind w:left="0" w:leftChars="0" w:firstLine="0" w:firstLineChars="0"/>
              <w:jc w:val="center"/>
              <w:rPr>
                <w:rFonts w:hint="eastAsia" w:ascii="宋体" w:hAnsi="宋体" w:cs="宋体"/>
                <w:color w:val="000000"/>
                <w:sz w:val="24"/>
                <w:szCs w:val="24"/>
                <w:highlight w:val="none"/>
                <w:lang w:bidi="zh-CN"/>
              </w:rPr>
            </w:pPr>
            <w:r>
              <w:rPr>
                <w:rFonts w:hint="eastAsia" w:ascii="宋体" w:hAnsi="宋体" w:cs="宋体"/>
                <w:color w:val="000000"/>
                <w:sz w:val="24"/>
                <w:szCs w:val="24"/>
                <w:highlight w:val="none"/>
                <w:lang w:bidi="zh-CN"/>
              </w:rPr>
              <w:t>签订合同</w:t>
            </w:r>
          </w:p>
        </w:tc>
        <w:tc>
          <w:tcPr>
            <w:tcW w:w="8714" w:type="dxa"/>
            <w:tcBorders>
              <w:top w:val="single" w:color="auto" w:sz="4" w:space="0"/>
              <w:left w:val="single" w:color="auto" w:sz="4" w:space="0"/>
              <w:bottom w:val="single" w:color="auto" w:sz="4" w:space="0"/>
              <w:right w:val="single" w:color="auto" w:sz="4" w:space="0"/>
            </w:tcBorders>
            <w:noWrap w:val="0"/>
            <w:vAlign w:val="top"/>
          </w:tcPr>
          <w:p w14:paraId="4F308DF2">
            <w:pPr>
              <w:pStyle w:val="7"/>
              <w:keepNext w:val="0"/>
              <w:keepLines w:val="0"/>
              <w:pageBreakBefore w:val="0"/>
              <w:widowControl w:val="0"/>
              <w:kinsoku/>
              <w:wordWrap/>
              <w:overflowPunct/>
              <w:topLinePunct w:val="0"/>
              <w:autoSpaceDE/>
              <w:autoSpaceDN/>
              <w:bidi w:val="0"/>
              <w:adjustRightInd/>
              <w:snapToGrid/>
              <w:spacing w:before="0" w:beforeLines="20" w:after="0"/>
              <w:ind w:left="105" w:leftChars="50" w:firstLine="0" w:firstLineChars="0"/>
              <w:textAlignment w:val="auto"/>
              <w:rPr>
                <w:rFonts w:hint="eastAsia" w:ascii="宋体" w:hAnsi="宋体" w:cs="宋体"/>
                <w:color w:val="000000"/>
                <w:sz w:val="24"/>
                <w:szCs w:val="24"/>
                <w:highlight w:val="none"/>
                <w:shd w:val="clear" w:color="auto" w:fill="FFFFFF"/>
              </w:rPr>
            </w:pPr>
            <w:r>
              <w:rPr>
                <w:rFonts w:hint="eastAsia" w:ascii="宋体" w:hAnsi="宋体" w:cs="宋体"/>
                <w:color w:val="000000"/>
                <w:sz w:val="24"/>
                <w:szCs w:val="24"/>
                <w:highlight w:val="none"/>
                <w:shd w:val="clear" w:color="auto" w:fill="FFFFFF"/>
              </w:rPr>
              <w:t>中标合作方请于招商结果公告期结束日起 7 个工作日内前来我司签订合作经营合同。公司地址：合肥市高新区望江西路600号合肥野生动物园。</w:t>
            </w:r>
          </w:p>
        </w:tc>
      </w:tr>
      <w:tr w14:paraId="4B586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344" w:type="dxa"/>
            <w:tcBorders>
              <w:top w:val="single" w:color="auto" w:sz="4" w:space="0"/>
              <w:left w:val="single" w:color="auto" w:sz="4" w:space="0"/>
              <w:bottom w:val="single" w:color="auto" w:sz="4" w:space="0"/>
              <w:right w:val="single" w:color="auto" w:sz="4" w:space="0"/>
            </w:tcBorders>
            <w:noWrap w:val="0"/>
            <w:vAlign w:val="top"/>
          </w:tcPr>
          <w:p w14:paraId="2288DB7E">
            <w:pPr>
              <w:pStyle w:val="7"/>
              <w:spacing w:after="0"/>
              <w:ind w:left="0" w:leftChars="0" w:firstLine="0" w:firstLineChars="0"/>
              <w:jc w:val="center"/>
              <w:rPr>
                <w:rFonts w:hint="eastAsia" w:ascii="宋体" w:hAnsi="宋体" w:cs="宋体"/>
                <w:color w:val="000000"/>
                <w:sz w:val="24"/>
                <w:szCs w:val="24"/>
                <w:highlight w:val="none"/>
                <w:lang w:bidi="zh-CN"/>
              </w:rPr>
            </w:pPr>
          </w:p>
          <w:p w14:paraId="44674444">
            <w:pPr>
              <w:pStyle w:val="7"/>
              <w:spacing w:after="0"/>
              <w:ind w:left="0" w:leftChars="0" w:firstLine="0" w:firstLineChars="0"/>
              <w:jc w:val="center"/>
              <w:rPr>
                <w:rFonts w:hint="eastAsia" w:ascii="宋体" w:hAnsi="宋体" w:cs="宋体"/>
                <w:color w:val="000000"/>
                <w:sz w:val="24"/>
                <w:szCs w:val="24"/>
                <w:highlight w:val="none"/>
                <w:lang w:bidi="zh-CN"/>
              </w:rPr>
            </w:pPr>
          </w:p>
          <w:p w14:paraId="0D63BB04">
            <w:pPr>
              <w:pStyle w:val="7"/>
              <w:spacing w:after="0"/>
              <w:ind w:left="0" w:leftChars="0" w:firstLine="0" w:firstLineChars="0"/>
              <w:jc w:val="center"/>
              <w:rPr>
                <w:rFonts w:hint="eastAsia" w:ascii="宋体" w:hAnsi="宋体" w:cs="宋体"/>
                <w:color w:val="000000"/>
                <w:sz w:val="24"/>
                <w:szCs w:val="24"/>
                <w:highlight w:val="none"/>
                <w:lang w:bidi="zh-CN"/>
              </w:rPr>
            </w:pPr>
          </w:p>
          <w:p w14:paraId="74EDB7A1">
            <w:pPr>
              <w:pStyle w:val="7"/>
              <w:spacing w:after="0"/>
              <w:ind w:left="0" w:leftChars="0" w:firstLine="0" w:firstLineChars="0"/>
              <w:jc w:val="center"/>
              <w:rPr>
                <w:rFonts w:hint="eastAsia" w:ascii="宋体" w:hAnsi="宋体" w:cs="宋体"/>
                <w:color w:val="000000"/>
                <w:sz w:val="24"/>
                <w:szCs w:val="24"/>
                <w:highlight w:val="none"/>
                <w:lang w:bidi="zh-CN"/>
              </w:rPr>
            </w:pPr>
          </w:p>
          <w:p w14:paraId="77119E66">
            <w:pPr>
              <w:pStyle w:val="7"/>
              <w:spacing w:after="0"/>
              <w:ind w:left="0" w:leftChars="0" w:firstLine="0" w:firstLineChars="0"/>
              <w:jc w:val="center"/>
              <w:rPr>
                <w:rFonts w:hint="eastAsia" w:ascii="宋体" w:hAnsi="宋体" w:cs="宋体"/>
                <w:color w:val="000000"/>
                <w:sz w:val="24"/>
                <w:szCs w:val="24"/>
                <w:highlight w:val="none"/>
                <w:lang w:bidi="zh-CN"/>
              </w:rPr>
            </w:pPr>
          </w:p>
          <w:p w14:paraId="7B6791E7">
            <w:pPr>
              <w:pStyle w:val="7"/>
              <w:spacing w:after="0"/>
              <w:ind w:left="0" w:leftChars="0" w:firstLine="0" w:firstLineChars="0"/>
              <w:jc w:val="center"/>
              <w:rPr>
                <w:rFonts w:hint="eastAsia" w:ascii="宋体" w:hAnsi="宋体" w:cs="宋体"/>
                <w:color w:val="000000"/>
                <w:sz w:val="24"/>
                <w:szCs w:val="24"/>
                <w:highlight w:val="none"/>
                <w:lang w:bidi="zh-CN"/>
              </w:rPr>
            </w:pPr>
          </w:p>
          <w:p w14:paraId="00156A8D">
            <w:pPr>
              <w:pStyle w:val="7"/>
              <w:spacing w:after="0"/>
              <w:ind w:left="0" w:leftChars="0" w:firstLine="0" w:firstLineChars="0"/>
              <w:jc w:val="center"/>
              <w:rPr>
                <w:rFonts w:hint="eastAsia" w:ascii="宋体" w:hAnsi="宋体" w:cs="宋体"/>
                <w:color w:val="000000"/>
                <w:sz w:val="24"/>
                <w:szCs w:val="24"/>
                <w:highlight w:val="none"/>
                <w:lang w:bidi="zh-CN"/>
              </w:rPr>
            </w:pPr>
          </w:p>
          <w:p w14:paraId="1FF9E53B">
            <w:pPr>
              <w:pStyle w:val="7"/>
              <w:spacing w:after="0"/>
              <w:ind w:left="0" w:leftChars="0" w:firstLine="0" w:firstLineChars="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zh-CN"/>
              </w:rPr>
              <w:t>异议处理</w:t>
            </w:r>
          </w:p>
        </w:tc>
        <w:tc>
          <w:tcPr>
            <w:tcW w:w="8714" w:type="dxa"/>
            <w:tcBorders>
              <w:top w:val="single" w:color="auto" w:sz="4" w:space="0"/>
              <w:left w:val="single" w:color="auto" w:sz="4" w:space="0"/>
              <w:bottom w:val="single" w:color="auto" w:sz="4" w:space="0"/>
              <w:right w:val="single" w:color="auto" w:sz="4" w:space="0"/>
            </w:tcBorders>
            <w:noWrap w:val="0"/>
            <w:vAlign w:val="top"/>
          </w:tcPr>
          <w:p w14:paraId="32B5D045">
            <w:pPr>
              <w:pStyle w:val="12"/>
              <w:keepNext w:val="0"/>
              <w:keepLines w:val="0"/>
              <w:pageBreakBefore w:val="0"/>
              <w:widowControl w:val="0"/>
              <w:kinsoku/>
              <w:wordWrap/>
              <w:overflowPunct/>
              <w:topLinePunct w:val="0"/>
              <w:autoSpaceDE/>
              <w:autoSpaceDN/>
              <w:bidi w:val="0"/>
              <w:adjustRightInd/>
              <w:snapToGrid/>
              <w:spacing w:before="0" w:beforeLines="20"/>
              <w:ind w:left="105" w:leftChars="50"/>
              <w:textAlignment w:val="auto"/>
              <w:rPr>
                <w:rFonts w:hint="eastAsia"/>
                <w:color w:val="000000"/>
                <w:sz w:val="24"/>
                <w:highlight w:val="none"/>
                <w:shd w:val="clear" w:color="auto" w:fill="FFFFFF"/>
                <w:lang w:val="en-US"/>
              </w:rPr>
            </w:pPr>
            <w:r>
              <w:rPr>
                <w:rFonts w:hint="eastAsia"/>
                <w:color w:val="000000"/>
                <w:sz w:val="24"/>
                <w:highlight w:val="none"/>
                <w:shd w:val="clear" w:color="auto" w:fill="FFFFFF"/>
                <w:lang w:val="en-US"/>
              </w:rPr>
              <w:t>若对成交公告有异议，可自成交公告发布次日起 3 个工作日内，以书面形式向合肥文旅博览集团野生动物园管理有限公司提出异议，异议材料递交地址：合肥市高新区望江西路600号合肥野生动物园。</w:t>
            </w:r>
          </w:p>
          <w:p w14:paraId="04BABAFF">
            <w:pPr>
              <w:pStyle w:val="12"/>
              <w:ind w:left="105" w:leftChars="50"/>
              <w:rPr>
                <w:rFonts w:hint="eastAsia"/>
                <w:color w:val="000000"/>
                <w:sz w:val="24"/>
                <w:highlight w:val="none"/>
                <w:shd w:val="clear" w:color="auto" w:fill="FFFFFF"/>
                <w:lang w:val="en-US"/>
              </w:rPr>
            </w:pPr>
            <w:r>
              <w:rPr>
                <w:rFonts w:hint="eastAsia"/>
                <w:color w:val="000000"/>
                <w:sz w:val="24"/>
                <w:highlight w:val="none"/>
                <w:shd w:val="clear" w:color="auto" w:fill="FFFFFF"/>
                <w:lang w:val="en-US"/>
              </w:rPr>
              <w:t xml:space="preserve">联系电话：0551-65395636。 </w:t>
            </w:r>
          </w:p>
          <w:p w14:paraId="19D8B881">
            <w:pPr>
              <w:pStyle w:val="12"/>
              <w:ind w:left="105" w:leftChars="50"/>
              <w:rPr>
                <w:rFonts w:hint="eastAsia"/>
                <w:color w:val="000000"/>
                <w:sz w:val="24"/>
                <w:highlight w:val="none"/>
                <w:shd w:val="clear" w:color="auto" w:fill="FFFFFF"/>
                <w:lang w:val="en-US"/>
              </w:rPr>
            </w:pPr>
            <w:r>
              <w:rPr>
                <w:rFonts w:hint="eastAsia"/>
                <w:color w:val="000000"/>
                <w:sz w:val="24"/>
                <w:highlight w:val="none"/>
                <w:shd w:val="clear" w:color="auto" w:fill="FFFFFF"/>
                <w:lang w:val="en-US"/>
              </w:rPr>
              <w:t>（一）异议应以书面形式实名提出，书面异议材料应当包括以内容：</w:t>
            </w:r>
          </w:p>
          <w:p w14:paraId="76497112">
            <w:pPr>
              <w:pStyle w:val="12"/>
              <w:ind w:left="105" w:leftChars="50"/>
              <w:rPr>
                <w:rFonts w:hint="eastAsia"/>
                <w:color w:val="000000"/>
                <w:sz w:val="24"/>
                <w:highlight w:val="none"/>
                <w:shd w:val="clear" w:color="auto" w:fill="FFFFFF"/>
                <w:lang w:val="en-US"/>
              </w:rPr>
            </w:pPr>
            <w:r>
              <w:rPr>
                <w:rFonts w:hint="eastAsia"/>
                <w:color w:val="000000"/>
                <w:sz w:val="24"/>
                <w:highlight w:val="none"/>
                <w:shd w:val="clear" w:color="auto" w:fill="FFFFFF"/>
                <w:lang w:val="en-US"/>
              </w:rPr>
              <w:t xml:space="preserve">1.异议人的名称/姓名、地址、有效联系方式； </w:t>
            </w:r>
          </w:p>
          <w:p w14:paraId="1A5B29D3">
            <w:pPr>
              <w:pStyle w:val="12"/>
              <w:tabs>
                <w:tab w:val="left" w:pos="321"/>
              </w:tabs>
              <w:ind w:left="105" w:leftChars="50"/>
              <w:jc w:val="left"/>
              <w:rPr>
                <w:rFonts w:hint="eastAsia"/>
                <w:color w:val="000000"/>
                <w:sz w:val="24"/>
                <w:highlight w:val="none"/>
                <w:shd w:val="clear" w:color="auto" w:fill="FFFFFF"/>
                <w:lang w:val="en-US"/>
              </w:rPr>
            </w:pPr>
            <w:r>
              <w:rPr>
                <w:rFonts w:hint="eastAsia"/>
                <w:color w:val="000000"/>
                <w:sz w:val="24"/>
                <w:highlight w:val="none"/>
                <w:shd w:val="clear" w:color="auto" w:fill="FFFFFF"/>
                <w:lang w:val="en-US"/>
              </w:rPr>
              <w:t>2</w:t>
            </w:r>
            <w:r>
              <w:rPr>
                <w:color w:val="000000"/>
                <w:sz w:val="24"/>
                <w:highlight w:val="none"/>
                <w:shd w:val="clear" w:color="auto" w:fill="FFFFFF"/>
                <w:lang w:val="en-US"/>
              </w:rPr>
              <w:t>.</w:t>
            </w:r>
            <w:r>
              <w:rPr>
                <w:rFonts w:hint="eastAsia"/>
                <w:color w:val="000000"/>
                <w:sz w:val="24"/>
                <w:highlight w:val="none"/>
                <w:shd w:val="clear" w:color="auto" w:fill="FFFFFF"/>
                <w:lang w:val="en-US"/>
              </w:rPr>
              <w:t xml:space="preserve">项目名称、项目编号、标的号（如有）； </w:t>
            </w:r>
          </w:p>
          <w:p w14:paraId="3B83A907">
            <w:pPr>
              <w:pStyle w:val="12"/>
              <w:tabs>
                <w:tab w:val="left" w:pos="321"/>
              </w:tabs>
              <w:ind w:left="105" w:leftChars="50"/>
              <w:jc w:val="left"/>
              <w:rPr>
                <w:rFonts w:hint="eastAsia"/>
                <w:color w:val="000000"/>
                <w:sz w:val="24"/>
                <w:highlight w:val="none"/>
                <w:shd w:val="clear" w:color="auto" w:fill="FFFFFF"/>
                <w:lang w:val="en-US"/>
              </w:rPr>
            </w:pPr>
            <w:r>
              <w:rPr>
                <w:rFonts w:hint="eastAsia"/>
                <w:color w:val="000000"/>
                <w:sz w:val="24"/>
                <w:highlight w:val="none"/>
                <w:shd w:val="clear" w:color="auto" w:fill="FFFFFF"/>
                <w:lang w:val="en-US"/>
              </w:rPr>
              <w:t>3</w:t>
            </w:r>
            <w:r>
              <w:rPr>
                <w:color w:val="000000"/>
                <w:sz w:val="24"/>
                <w:highlight w:val="none"/>
                <w:shd w:val="clear" w:color="auto" w:fill="FFFFFF"/>
                <w:lang w:val="en-US"/>
              </w:rPr>
              <w:t>.</w:t>
            </w:r>
            <w:r>
              <w:rPr>
                <w:rFonts w:hint="eastAsia"/>
                <w:color w:val="000000"/>
                <w:sz w:val="24"/>
                <w:highlight w:val="none"/>
                <w:shd w:val="clear" w:color="auto" w:fill="FFFFFF"/>
                <w:lang w:val="en-US"/>
              </w:rPr>
              <w:t xml:space="preserve">被异议人名称/姓名； </w:t>
            </w:r>
          </w:p>
          <w:p w14:paraId="01914EC1">
            <w:pPr>
              <w:pStyle w:val="12"/>
              <w:tabs>
                <w:tab w:val="left" w:pos="321"/>
              </w:tabs>
              <w:ind w:left="105" w:leftChars="50"/>
              <w:jc w:val="left"/>
              <w:rPr>
                <w:rFonts w:hint="eastAsia"/>
                <w:color w:val="000000"/>
                <w:sz w:val="24"/>
                <w:highlight w:val="none"/>
                <w:shd w:val="clear" w:color="auto" w:fill="FFFFFF"/>
                <w:lang w:val="en-US"/>
              </w:rPr>
            </w:pPr>
            <w:r>
              <w:rPr>
                <w:rFonts w:hint="eastAsia"/>
                <w:color w:val="000000"/>
                <w:sz w:val="24"/>
                <w:highlight w:val="none"/>
                <w:shd w:val="clear" w:color="auto" w:fill="FFFFFF"/>
                <w:lang w:val="en-US"/>
              </w:rPr>
              <w:t>4</w:t>
            </w:r>
            <w:r>
              <w:rPr>
                <w:color w:val="000000"/>
                <w:sz w:val="24"/>
                <w:highlight w:val="none"/>
                <w:shd w:val="clear" w:color="auto" w:fill="FFFFFF"/>
                <w:lang w:val="en-US"/>
              </w:rPr>
              <w:t>.</w:t>
            </w:r>
            <w:r>
              <w:rPr>
                <w:rFonts w:hint="eastAsia"/>
                <w:color w:val="000000"/>
                <w:sz w:val="24"/>
                <w:highlight w:val="none"/>
                <w:shd w:val="clear" w:color="auto" w:fill="FFFFFF"/>
                <w:lang w:val="en-US"/>
              </w:rPr>
              <w:t xml:space="preserve">具体的异议事项、基本事实及必要的证明材料； </w:t>
            </w:r>
          </w:p>
          <w:p w14:paraId="506ACEFB">
            <w:pPr>
              <w:pStyle w:val="12"/>
              <w:tabs>
                <w:tab w:val="left" w:pos="321"/>
              </w:tabs>
              <w:ind w:left="105" w:leftChars="50"/>
              <w:jc w:val="left"/>
              <w:rPr>
                <w:rFonts w:hint="eastAsia"/>
                <w:color w:val="000000"/>
                <w:sz w:val="24"/>
                <w:highlight w:val="none"/>
                <w:shd w:val="clear" w:color="auto" w:fill="FFFFFF"/>
                <w:lang w:val="en-US"/>
              </w:rPr>
            </w:pPr>
            <w:r>
              <w:rPr>
                <w:rFonts w:hint="eastAsia"/>
                <w:color w:val="000000"/>
                <w:sz w:val="24"/>
                <w:highlight w:val="none"/>
                <w:shd w:val="clear" w:color="auto" w:fill="FFFFFF"/>
                <w:lang w:val="en-US"/>
              </w:rPr>
              <w:t>5</w:t>
            </w:r>
            <w:r>
              <w:rPr>
                <w:color w:val="000000"/>
                <w:sz w:val="24"/>
                <w:highlight w:val="none"/>
                <w:shd w:val="clear" w:color="auto" w:fill="FFFFFF"/>
                <w:lang w:val="en-US"/>
              </w:rPr>
              <w:t>.</w:t>
            </w:r>
            <w:r>
              <w:rPr>
                <w:rFonts w:hint="eastAsia"/>
                <w:color w:val="000000"/>
                <w:sz w:val="24"/>
                <w:highlight w:val="none"/>
                <w:shd w:val="clear" w:color="auto" w:fill="FFFFFF"/>
                <w:lang w:val="en-US"/>
              </w:rPr>
              <w:t xml:space="preserve">明确的请求及主张； </w:t>
            </w:r>
          </w:p>
          <w:p w14:paraId="775FC225">
            <w:pPr>
              <w:pStyle w:val="12"/>
              <w:tabs>
                <w:tab w:val="left" w:pos="321"/>
              </w:tabs>
              <w:ind w:left="105" w:leftChars="50"/>
              <w:jc w:val="left"/>
              <w:rPr>
                <w:rFonts w:hint="eastAsia"/>
                <w:color w:val="000000"/>
                <w:sz w:val="24"/>
                <w:highlight w:val="none"/>
                <w:shd w:val="clear" w:color="auto" w:fill="FFFFFF"/>
                <w:lang w:val="en-US"/>
              </w:rPr>
            </w:pPr>
            <w:r>
              <w:rPr>
                <w:rFonts w:hint="eastAsia"/>
                <w:color w:val="000000"/>
                <w:sz w:val="24"/>
                <w:highlight w:val="none"/>
                <w:shd w:val="clear" w:color="auto" w:fill="FFFFFF"/>
                <w:lang w:val="en-US"/>
              </w:rPr>
              <w:t>6</w:t>
            </w:r>
            <w:r>
              <w:rPr>
                <w:color w:val="000000"/>
                <w:sz w:val="24"/>
                <w:highlight w:val="none"/>
                <w:shd w:val="clear" w:color="auto" w:fill="FFFFFF"/>
                <w:lang w:val="en-US"/>
              </w:rPr>
              <w:t>.</w:t>
            </w:r>
            <w:r>
              <w:rPr>
                <w:rFonts w:hint="eastAsia"/>
                <w:color w:val="000000"/>
                <w:sz w:val="24"/>
                <w:highlight w:val="none"/>
                <w:shd w:val="clear" w:color="auto" w:fill="FFFFFF"/>
                <w:lang w:val="en-US"/>
              </w:rPr>
              <w:t xml:space="preserve">提起异议的日期。 </w:t>
            </w:r>
          </w:p>
          <w:p w14:paraId="4BC8665B">
            <w:pPr>
              <w:pStyle w:val="12"/>
              <w:ind w:left="105" w:leftChars="50"/>
              <w:rPr>
                <w:rFonts w:hint="eastAsia"/>
                <w:color w:val="000000"/>
                <w:sz w:val="24"/>
                <w:highlight w:val="none"/>
                <w:shd w:val="clear" w:color="auto" w:fill="FFFFFF"/>
                <w:lang w:val="en-US"/>
              </w:rPr>
            </w:pPr>
            <w:r>
              <w:rPr>
                <w:rFonts w:hint="eastAsia"/>
                <w:color w:val="000000"/>
                <w:sz w:val="24"/>
                <w:highlight w:val="none"/>
                <w:shd w:val="clear" w:color="auto" w:fill="FFFFFF"/>
                <w:lang w:val="en-US"/>
              </w:rPr>
              <w:t xml:space="preserve">异议人为法人的，应当由法定代表人或其委托代理人（需有委托授权书）签字并加盖公章。 </w:t>
            </w:r>
          </w:p>
          <w:p w14:paraId="5F09C793">
            <w:pPr>
              <w:pStyle w:val="12"/>
              <w:ind w:left="105" w:leftChars="50"/>
              <w:rPr>
                <w:rFonts w:hint="eastAsia"/>
                <w:color w:val="000000"/>
                <w:sz w:val="24"/>
                <w:highlight w:val="none"/>
                <w:shd w:val="clear" w:color="auto" w:fill="FFFFFF"/>
                <w:lang w:val="en-US"/>
              </w:rPr>
            </w:pPr>
            <w:r>
              <w:rPr>
                <w:rFonts w:hint="eastAsia"/>
                <w:color w:val="000000"/>
                <w:sz w:val="24"/>
                <w:highlight w:val="none"/>
                <w:shd w:val="clear" w:color="auto" w:fill="FFFFFF"/>
                <w:lang w:val="en-US"/>
              </w:rPr>
              <w:t xml:space="preserve">异议人需要修改、补充异议材料的，应当在异议期内提交修改或补充材料。 </w:t>
            </w:r>
          </w:p>
          <w:p w14:paraId="6D2C96A3">
            <w:pPr>
              <w:pStyle w:val="12"/>
              <w:numPr>
                <w:ilvl w:val="0"/>
                <w:numId w:val="4"/>
              </w:numPr>
              <w:ind w:left="105" w:leftChars="50"/>
              <w:rPr>
                <w:rFonts w:hint="eastAsia"/>
                <w:color w:val="000000"/>
                <w:sz w:val="24"/>
                <w:highlight w:val="none"/>
                <w:shd w:val="clear" w:color="auto" w:fill="FFFFFF"/>
                <w:lang w:val="en-US"/>
              </w:rPr>
            </w:pPr>
            <w:r>
              <w:rPr>
                <w:rFonts w:hint="eastAsia"/>
                <w:color w:val="000000"/>
                <w:sz w:val="24"/>
                <w:highlight w:val="none"/>
                <w:shd w:val="clear" w:color="auto" w:fill="FFFFFF"/>
                <w:lang w:val="en-US"/>
              </w:rPr>
              <w:t xml:space="preserve">有下列情形之一的，不予受理： </w:t>
            </w:r>
          </w:p>
          <w:p w14:paraId="4A953490">
            <w:pPr>
              <w:pStyle w:val="12"/>
              <w:tabs>
                <w:tab w:val="left" w:pos="321"/>
              </w:tabs>
              <w:ind w:left="105" w:leftChars="50"/>
              <w:jc w:val="left"/>
              <w:rPr>
                <w:rFonts w:hint="eastAsia"/>
                <w:color w:val="000000"/>
                <w:sz w:val="24"/>
                <w:highlight w:val="none"/>
                <w:shd w:val="clear" w:color="auto" w:fill="FFFFFF"/>
                <w:lang w:val="en-US"/>
              </w:rPr>
            </w:pPr>
            <w:r>
              <w:rPr>
                <w:rFonts w:hint="eastAsia"/>
                <w:color w:val="000000"/>
                <w:sz w:val="24"/>
                <w:highlight w:val="none"/>
                <w:shd w:val="clear" w:color="auto" w:fill="FFFFFF"/>
                <w:lang w:val="en-US"/>
              </w:rPr>
              <w:t>1</w:t>
            </w:r>
            <w:r>
              <w:rPr>
                <w:color w:val="000000"/>
                <w:sz w:val="24"/>
                <w:highlight w:val="none"/>
                <w:shd w:val="clear" w:color="auto" w:fill="FFFFFF"/>
                <w:lang w:val="en-US"/>
              </w:rPr>
              <w:t>.</w:t>
            </w:r>
            <w:r>
              <w:rPr>
                <w:rFonts w:hint="eastAsia"/>
                <w:color w:val="000000"/>
                <w:sz w:val="24"/>
                <w:highlight w:val="none"/>
                <w:shd w:val="clear" w:color="auto" w:fill="FFFFFF"/>
                <w:lang w:val="en-US"/>
              </w:rPr>
              <w:t xml:space="preserve">提起异议的主体不是所异议项目投标方的，或者未通过资格审查的投标方； </w:t>
            </w:r>
          </w:p>
          <w:p w14:paraId="608EB41C">
            <w:pPr>
              <w:pStyle w:val="12"/>
              <w:tabs>
                <w:tab w:val="left" w:pos="321"/>
              </w:tabs>
              <w:ind w:left="105" w:leftChars="50"/>
              <w:jc w:val="left"/>
              <w:rPr>
                <w:rFonts w:hint="eastAsia"/>
                <w:color w:val="000000"/>
                <w:sz w:val="24"/>
                <w:highlight w:val="none"/>
                <w:shd w:val="clear" w:color="auto" w:fill="FFFFFF"/>
                <w:lang w:val="en-US"/>
              </w:rPr>
            </w:pPr>
            <w:r>
              <w:rPr>
                <w:rFonts w:hint="eastAsia"/>
                <w:color w:val="000000"/>
                <w:sz w:val="24"/>
                <w:highlight w:val="none"/>
                <w:shd w:val="clear" w:color="auto" w:fill="FFFFFF"/>
                <w:lang w:val="en-US"/>
              </w:rPr>
              <w:t>2</w:t>
            </w:r>
            <w:r>
              <w:rPr>
                <w:color w:val="000000"/>
                <w:sz w:val="24"/>
                <w:highlight w:val="none"/>
                <w:shd w:val="clear" w:color="auto" w:fill="FFFFFF"/>
                <w:lang w:val="en-US"/>
              </w:rPr>
              <w:t>.</w:t>
            </w:r>
            <w:r>
              <w:rPr>
                <w:rFonts w:hint="eastAsia"/>
                <w:color w:val="000000"/>
                <w:sz w:val="24"/>
                <w:highlight w:val="none"/>
                <w:shd w:val="clear" w:color="auto" w:fill="FFFFFF"/>
                <w:lang w:val="en-US"/>
              </w:rPr>
              <w:t xml:space="preserve">异议材料不完整的； </w:t>
            </w:r>
          </w:p>
          <w:p w14:paraId="4874C646">
            <w:pPr>
              <w:pStyle w:val="12"/>
              <w:tabs>
                <w:tab w:val="left" w:pos="321"/>
              </w:tabs>
              <w:ind w:left="105" w:leftChars="50"/>
              <w:jc w:val="left"/>
              <w:rPr>
                <w:rFonts w:hint="eastAsia"/>
                <w:color w:val="000000"/>
                <w:sz w:val="24"/>
                <w:highlight w:val="none"/>
                <w:shd w:val="clear" w:color="auto" w:fill="FFFFFF"/>
                <w:lang w:val="en-US"/>
              </w:rPr>
            </w:pPr>
            <w:r>
              <w:rPr>
                <w:rFonts w:hint="eastAsia"/>
                <w:color w:val="000000"/>
                <w:sz w:val="24"/>
                <w:highlight w:val="none"/>
                <w:shd w:val="clear" w:color="auto" w:fill="FFFFFF"/>
                <w:lang w:val="en-US"/>
              </w:rPr>
              <w:t>3</w:t>
            </w:r>
            <w:r>
              <w:rPr>
                <w:color w:val="000000"/>
                <w:sz w:val="24"/>
                <w:highlight w:val="none"/>
                <w:shd w:val="clear" w:color="auto" w:fill="FFFFFF"/>
                <w:lang w:val="en-US"/>
              </w:rPr>
              <w:t>.</w:t>
            </w:r>
            <w:r>
              <w:rPr>
                <w:rFonts w:hint="eastAsia"/>
                <w:color w:val="000000"/>
                <w:sz w:val="24"/>
                <w:highlight w:val="none"/>
                <w:shd w:val="clear" w:color="auto" w:fill="FFFFFF"/>
                <w:lang w:val="en-US"/>
              </w:rPr>
              <w:t xml:space="preserve">异议事项含有主观猜测等内容且未提供有效线索、难以查证的。 </w:t>
            </w:r>
          </w:p>
        </w:tc>
      </w:tr>
      <w:tr w14:paraId="0157F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058" w:type="dxa"/>
            <w:gridSpan w:val="2"/>
            <w:tcBorders>
              <w:top w:val="single" w:color="auto" w:sz="4" w:space="0"/>
              <w:left w:val="single" w:color="auto" w:sz="4" w:space="0"/>
              <w:bottom w:val="single" w:color="auto" w:sz="4" w:space="0"/>
              <w:right w:val="single" w:color="auto" w:sz="4" w:space="0"/>
            </w:tcBorders>
            <w:noWrap w:val="0"/>
            <w:vAlign w:val="top"/>
          </w:tcPr>
          <w:p w14:paraId="43B5B08B">
            <w:pPr>
              <w:pStyle w:val="12"/>
              <w:tabs>
                <w:tab w:val="left" w:pos="321"/>
              </w:tabs>
              <w:ind w:left="0"/>
              <w:jc w:val="center"/>
              <w:rPr>
                <w:rFonts w:hint="eastAsia"/>
                <w:color w:val="000000"/>
                <w:spacing w:val="-3"/>
                <w:sz w:val="24"/>
                <w:highlight w:val="none"/>
              </w:rPr>
            </w:pPr>
            <w:r>
              <w:rPr>
                <w:rFonts w:hint="eastAsia"/>
                <w:color w:val="000000"/>
                <w:spacing w:val="-3"/>
                <w:sz w:val="24"/>
                <w:highlight w:val="none"/>
              </w:rPr>
              <w:t>九、联系方式</w:t>
            </w:r>
          </w:p>
        </w:tc>
      </w:tr>
      <w:tr w14:paraId="03966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44" w:type="dxa"/>
            <w:tcBorders>
              <w:top w:val="single" w:color="auto" w:sz="4" w:space="0"/>
              <w:left w:val="single" w:color="auto" w:sz="4" w:space="0"/>
              <w:bottom w:val="single" w:color="auto" w:sz="4" w:space="0"/>
              <w:right w:val="single" w:color="auto" w:sz="4" w:space="0"/>
            </w:tcBorders>
            <w:noWrap w:val="0"/>
            <w:vAlign w:val="top"/>
          </w:tcPr>
          <w:p w14:paraId="31282960">
            <w:pPr>
              <w:pStyle w:val="12"/>
              <w:tabs>
                <w:tab w:val="left" w:pos="321"/>
              </w:tabs>
              <w:ind w:left="105" w:leftChars="50"/>
              <w:jc w:val="left"/>
              <w:rPr>
                <w:rFonts w:hint="eastAsia"/>
                <w:color w:val="000000"/>
                <w:spacing w:val="-3"/>
                <w:sz w:val="24"/>
                <w:highlight w:val="none"/>
              </w:rPr>
            </w:pPr>
            <w:r>
              <w:rPr>
                <w:rFonts w:hint="eastAsia"/>
                <w:color w:val="000000"/>
                <w:sz w:val="24"/>
                <w:highlight w:val="none"/>
              </w:rPr>
              <w:t xml:space="preserve">现场实勘 </w:t>
            </w:r>
          </w:p>
        </w:tc>
        <w:tc>
          <w:tcPr>
            <w:tcW w:w="8714" w:type="dxa"/>
            <w:tcBorders>
              <w:top w:val="single" w:color="auto" w:sz="4" w:space="0"/>
              <w:left w:val="single" w:color="auto" w:sz="4" w:space="0"/>
              <w:bottom w:val="single" w:color="auto" w:sz="4" w:space="0"/>
              <w:right w:val="single" w:color="auto" w:sz="4" w:space="0"/>
            </w:tcBorders>
            <w:noWrap w:val="0"/>
            <w:vAlign w:val="top"/>
          </w:tcPr>
          <w:p w14:paraId="06D5615C">
            <w:pPr>
              <w:pStyle w:val="12"/>
              <w:keepNext w:val="0"/>
              <w:keepLines w:val="0"/>
              <w:pageBreakBefore w:val="0"/>
              <w:widowControl w:val="0"/>
              <w:tabs>
                <w:tab w:val="left" w:pos="321"/>
              </w:tabs>
              <w:kinsoku/>
              <w:wordWrap/>
              <w:overflowPunct/>
              <w:topLinePunct w:val="0"/>
              <w:autoSpaceDE/>
              <w:autoSpaceDN/>
              <w:bidi w:val="0"/>
              <w:adjustRightInd/>
              <w:snapToGrid/>
              <w:spacing w:before="0" w:beforeLines="20"/>
              <w:ind w:left="105" w:leftChars="50"/>
              <w:jc w:val="left"/>
              <w:textAlignment w:val="auto"/>
              <w:rPr>
                <w:rFonts w:hint="eastAsia"/>
                <w:color w:val="000000"/>
                <w:spacing w:val="-3"/>
                <w:sz w:val="24"/>
                <w:highlight w:val="none"/>
              </w:rPr>
            </w:pPr>
            <w:r>
              <w:rPr>
                <w:rFonts w:hint="eastAsia"/>
                <w:color w:val="000000"/>
                <w:sz w:val="24"/>
                <w:highlight w:val="none"/>
                <w:shd w:val="clear" w:color="auto" w:fill="FFFFFF"/>
                <w:lang w:val="en-US"/>
              </w:rPr>
              <w:t>联系人：王工  电话：0551-65395636</w:t>
            </w:r>
          </w:p>
        </w:tc>
      </w:tr>
      <w:tr w14:paraId="7066D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058" w:type="dxa"/>
            <w:gridSpan w:val="2"/>
            <w:tcBorders>
              <w:top w:val="single" w:color="auto" w:sz="4" w:space="0"/>
              <w:left w:val="single" w:color="auto" w:sz="4" w:space="0"/>
              <w:bottom w:val="single" w:color="auto" w:sz="4" w:space="0"/>
              <w:right w:val="single" w:color="auto" w:sz="4" w:space="0"/>
            </w:tcBorders>
            <w:noWrap w:val="0"/>
            <w:vAlign w:val="top"/>
          </w:tcPr>
          <w:p w14:paraId="1A6C621A">
            <w:pPr>
              <w:pStyle w:val="12"/>
              <w:keepNext w:val="0"/>
              <w:keepLines w:val="0"/>
              <w:pageBreakBefore w:val="0"/>
              <w:widowControl w:val="0"/>
              <w:kinsoku/>
              <w:wordWrap/>
              <w:overflowPunct/>
              <w:topLinePunct w:val="0"/>
              <w:autoSpaceDE/>
              <w:autoSpaceDN/>
              <w:bidi w:val="0"/>
              <w:adjustRightInd/>
              <w:snapToGrid/>
              <w:spacing w:before="0" w:beforeLines="20"/>
              <w:ind w:left="105" w:leftChars="50"/>
              <w:textAlignment w:val="auto"/>
              <w:rPr>
                <w:rFonts w:hint="eastAsia"/>
                <w:color w:val="000000"/>
                <w:spacing w:val="-6"/>
                <w:sz w:val="24"/>
                <w:highlight w:val="none"/>
              </w:rPr>
            </w:pPr>
            <w:r>
              <w:rPr>
                <w:rFonts w:hint="eastAsia"/>
                <w:color w:val="000000"/>
                <w:spacing w:val="-3"/>
                <w:sz w:val="24"/>
                <w:highlight w:val="none"/>
              </w:rPr>
              <w:t>本项目</w:t>
            </w:r>
            <w:r>
              <w:rPr>
                <w:rFonts w:hint="eastAsia"/>
                <w:color w:val="000000"/>
                <w:spacing w:val="-3"/>
                <w:sz w:val="24"/>
                <w:highlight w:val="none"/>
                <w:lang w:val="en-US"/>
              </w:rPr>
              <w:t>合作</w:t>
            </w:r>
            <w:r>
              <w:rPr>
                <w:rFonts w:hint="eastAsia"/>
                <w:color w:val="000000"/>
                <w:spacing w:val="-3"/>
                <w:sz w:val="24"/>
                <w:highlight w:val="none"/>
              </w:rPr>
              <w:t>方如需咨询，务必首先认真阅读本项目公告，并针对具体条款进行咨询。</w:t>
            </w:r>
            <w:r>
              <w:rPr>
                <w:rFonts w:hint="eastAsia"/>
                <w:color w:val="000000"/>
                <w:spacing w:val="-9"/>
                <w:sz w:val="24"/>
                <w:highlight w:val="none"/>
              </w:rPr>
              <w:t>本公告为本项目唯一法定文书，一切解释以本公告为准。</w:t>
            </w:r>
            <w:r>
              <w:rPr>
                <w:rFonts w:hint="eastAsia"/>
                <w:color w:val="000000"/>
                <w:sz w:val="24"/>
                <w:highlight w:val="none"/>
                <w:lang w:val="en-US"/>
              </w:rPr>
              <w:t>合作方</w:t>
            </w:r>
            <w:r>
              <w:rPr>
                <w:rFonts w:hint="eastAsia"/>
                <w:color w:val="000000"/>
                <w:sz w:val="24"/>
                <w:highlight w:val="none"/>
              </w:rPr>
              <w:t>需自行评估参与本次招商的预期风险及收益，参与合肥文旅博览集团野生动物园管理有限公司招商视作认可合肥文旅博览集团野生动物园管理有限公司招商相关要求及规定，本招商公告解释权归合肥文旅博览集团野生动物园管理有限公司所有。</w:t>
            </w:r>
          </w:p>
        </w:tc>
      </w:tr>
    </w:tbl>
    <w:p w14:paraId="0870750C">
      <w:pPr>
        <w:pStyle w:val="2"/>
        <w:jc w:val="both"/>
        <w:rPr>
          <w:rFonts w:hint="eastAsia" w:ascii="方正小标宋简体" w:hAnsi="方正小标宋简体" w:eastAsia="方正小标宋简体" w:cs="方正小标宋简体"/>
          <w:b w:val="0"/>
          <w:bCs w:val="0"/>
          <w:highlight w:val="none"/>
        </w:rPr>
      </w:pPr>
      <w:r>
        <w:rPr>
          <w:rFonts w:hint="eastAsia" w:ascii="Arial" w:hAnsi="Arial" w:cs="Arial"/>
          <w:sz w:val="21"/>
          <w:szCs w:val="21"/>
          <w:highlight w:val="none"/>
        </w:rPr>
        <w:br w:type="page"/>
      </w:r>
      <w:r>
        <w:rPr>
          <w:rFonts w:hint="eastAsia" w:ascii="方正小标宋简体" w:hAnsi="方正小标宋简体" w:eastAsia="方正小标宋简体" w:cs="方正小标宋简体"/>
          <w:b w:val="0"/>
          <w:bCs w:val="0"/>
          <w:highlight w:val="none"/>
        </w:rPr>
        <w:t xml:space="preserve">附件一：  </w:t>
      </w:r>
    </w:p>
    <w:p w14:paraId="6A151EBF">
      <w:pPr>
        <w:pStyle w:val="2"/>
        <w:rPr>
          <w:rFonts w:hint="eastAsia" w:ascii="方正小标宋简体" w:hAnsi="方正小标宋简体" w:eastAsia="方正小标宋简体" w:cs="方正小标宋简体"/>
          <w:b w:val="0"/>
          <w:bCs w:val="0"/>
          <w:highlight w:val="none"/>
        </w:rPr>
      </w:pPr>
      <w:r>
        <w:rPr>
          <w:rFonts w:hint="eastAsia" w:ascii="方正小标宋简体" w:hAnsi="方正小标宋简体" w:eastAsia="方正小标宋简体" w:cs="方正小标宋简体"/>
          <w:b w:val="0"/>
          <w:bCs w:val="0"/>
          <w:highlight w:val="none"/>
        </w:rPr>
        <w:t>授权书</w:t>
      </w:r>
    </w:p>
    <w:p w14:paraId="565CAB99">
      <w:pPr>
        <w:pStyle w:val="5"/>
        <w:snapToGrid w:val="0"/>
        <w:spacing w:line="360" w:lineRule="auto"/>
        <w:ind w:firstLine="480" w:firstLineChars="200"/>
        <w:jc w:val="left"/>
        <w:rPr>
          <w:rFonts w:hint="eastAsia" w:hAnsi="宋体" w:cs="宋体"/>
          <w:color w:val="000000"/>
          <w:sz w:val="24"/>
          <w:szCs w:val="28"/>
          <w:highlight w:val="none"/>
        </w:rPr>
      </w:pPr>
      <w:r>
        <w:rPr>
          <w:rFonts w:hint="eastAsia" w:hAnsi="宋体" w:cs="宋体"/>
          <w:color w:val="000000"/>
          <w:sz w:val="24"/>
          <w:szCs w:val="28"/>
          <w:highlight w:val="none"/>
        </w:rPr>
        <w:t>本授权书声明</w:t>
      </w:r>
      <w:r>
        <w:rPr>
          <w:rFonts w:hint="eastAsia" w:hAnsi="宋体" w:cs="宋体"/>
          <w:color w:val="000000"/>
          <w:sz w:val="24"/>
          <w:szCs w:val="28"/>
          <w:highlight w:val="none"/>
          <w:u w:val="single"/>
        </w:rPr>
        <w:t xml:space="preserve">：           </w:t>
      </w:r>
      <w:r>
        <w:rPr>
          <w:rFonts w:hint="eastAsia" w:hAnsi="宋体" w:cs="宋体"/>
          <w:color w:val="000000"/>
          <w:sz w:val="24"/>
          <w:szCs w:val="28"/>
          <w:highlight w:val="none"/>
        </w:rPr>
        <w:t>公司授权</w:t>
      </w:r>
      <w:r>
        <w:rPr>
          <w:rFonts w:hint="eastAsia" w:hAnsi="宋体" w:cs="宋体"/>
          <w:color w:val="000000"/>
          <w:sz w:val="24"/>
          <w:szCs w:val="28"/>
          <w:highlight w:val="none"/>
          <w:u w:val="single"/>
        </w:rPr>
        <w:t xml:space="preserve">        </w:t>
      </w:r>
      <w:r>
        <w:rPr>
          <w:rFonts w:hint="eastAsia" w:hAnsi="宋体" w:cs="宋体"/>
          <w:color w:val="000000"/>
          <w:sz w:val="24"/>
          <w:szCs w:val="28"/>
          <w:highlight w:val="none"/>
        </w:rPr>
        <w:t>（合作方授权代表姓名、职务，手机号码）代表本公司参加合肥文旅博览集团野生动物园管理有限公司</w:t>
      </w:r>
      <w:r>
        <w:rPr>
          <w:rFonts w:hint="eastAsia" w:hAnsi="宋体" w:cs="宋体"/>
          <w:color w:val="000000"/>
          <w:sz w:val="24"/>
          <w:szCs w:val="28"/>
          <w:highlight w:val="none"/>
          <w:u w:val="single"/>
        </w:rPr>
        <w:t xml:space="preserve">           </w:t>
      </w:r>
      <w:r>
        <w:rPr>
          <w:rFonts w:hint="eastAsia" w:hAnsi="宋体" w:cs="宋体"/>
          <w:color w:val="000000"/>
          <w:sz w:val="24"/>
          <w:szCs w:val="28"/>
          <w:highlight w:val="none"/>
        </w:rPr>
        <w:t>项目</w:t>
      </w:r>
      <w:r>
        <w:rPr>
          <w:rFonts w:hint="eastAsia" w:hAnsi="宋体" w:cs="宋体"/>
          <w:bCs/>
          <w:color w:val="000000"/>
          <w:sz w:val="24"/>
          <w:szCs w:val="28"/>
          <w:highlight w:val="none"/>
        </w:rPr>
        <w:t>招商</w:t>
      </w:r>
      <w:r>
        <w:rPr>
          <w:rFonts w:hint="eastAsia" w:hAnsi="宋体" w:cs="宋体"/>
          <w:color w:val="000000"/>
          <w:sz w:val="24"/>
          <w:szCs w:val="28"/>
          <w:highlight w:val="none"/>
        </w:rPr>
        <w:t>，全权代表本公司处理招商过程的一切事宜，包括但不限于：投标、参与开标、谈判、签约等。合作方授权代表在招商过程中所签署的一切文件和处理与之有关的一切事务，本公司均予以认可并对此承担责任。合作方授权代表无转委托权。特此授权。</w:t>
      </w:r>
    </w:p>
    <w:p w14:paraId="1447B13B">
      <w:pPr>
        <w:pStyle w:val="5"/>
        <w:snapToGrid w:val="0"/>
        <w:spacing w:line="360" w:lineRule="auto"/>
        <w:ind w:firstLine="480" w:firstLineChars="200"/>
        <w:jc w:val="left"/>
        <w:rPr>
          <w:rFonts w:hint="eastAsia" w:hAnsi="宋体" w:cs="宋体"/>
          <w:color w:val="000000"/>
          <w:sz w:val="24"/>
          <w:szCs w:val="28"/>
          <w:highlight w:val="none"/>
        </w:rPr>
      </w:pPr>
      <w:r>
        <w:rPr>
          <w:rFonts w:hint="eastAsia" w:hAnsi="宋体" w:cs="宋体"/>
          <w:color w:val="000000"/>
          <w:sz w:val="24"/>
          <w:szCs w:val="28"/>
          <w:highlight w:val="none"/>
        </w:rPr>
        <w:t>本授权书自出具之日起生效。</w:t>
      </w:r>
    </w:p>
    <w:p w14:paraId="46A8947A">
      <w:pPr>
        <w:spacing w:line="360" w:lineRule="auto"/>
        <w:rPr>
          <w:rFonts w:hint="eastAsia" w:ascii="宋体" w:hAnsi="宋体" w:cs="宋体"/>
          <w:color w:val="000000"/>
          <w:sz w:val="24"/>
          <w:szCs w:val="28"/>
          <w:highlight w:val="none"/>
        </w:rPr>
      </w:pPr>
    </w:p>
    <w:p w14:paraId="3B3F45D3">
      <w:pPr>
        <w:spacing w:line="360" w:lineRule="auto"/>
        <w:ind w:firstLine="645"/>
        <w:rPr>
          <w:rFonts w:hint="eastAsia" w:ascii="宋体" w:hAnsi="宋体" w:cs="宋体"/>
          <w:color w:val="000000"/>
          <w:sz w:val="24"/>
          <w:szCs w:val="28"/>
          <w:highlight w:val="none"/>
        </w:rPr>
      </w:pPr>
      <w:r>
        <w:rPr>
          <w:rFonts w:hint="eastAsia" w:ascii="宋体" w:hAnsi="宋体" w:cs="宋体"/>
          <w:color w:val="000000"/>
          <w:sz w:val="24"/>
          <w:szCs w:val="28"/>
          <w:highlight w:val="none"/>
        </w:rPr>
        <mc:AlternateContent>
          <mc:Choice Requires="wpg">
            <w:drawing>
              <wp:anchor distT="0" distB="0" distL="114300" distR="114300" simplePos="0" relativeHeight="251659264" behindDoc="0" locked="0" layoutInCell="1" allowOverlap="1">
                <wp:simplePos x="0" y="0"/>
                <wp:positionH relativeFrom="column">
                  <wp:posOffset>94615</wp:posOffset>
                </wp:positionH>
                <wp:positionV relativeFrom="paragraph">
                  <wp:posOffset>274955</wp:posOffset>
                </wp:positionV>
                <wp:extent cx="5997575" cy="1764665"/>
                <wp:effectExtent l="5080" t="4445" r="17145" b="21590"/>
                <wp:wrapNone/>
                <wp:docPr id="8" name="组合 8"/>
                <wp:cNvGraphicFramePr/>
                <a:graphic xmlns:a="http://schemas.openxmlformats.org/drawingml/2006/main">
                  <a:graphicData uri="http://schemas.microsoft.com/office/word/2010/wordprocessingGroup">
                    <wpg:wgp>
                      <wpg:cNvGrpSpPr/>
                      <wpg:grpSpPr>
                        <a:xfrm>
                          <a:off x="0" y="0"/>
                          <a:ext cx="5997575" cy="1764665"/>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14:paraId="0E37F323"/>
                            <w:p w14:paraId="4CC11E34">
                              <w:pPr>
                                <w:jc w:val="center"/>
                                <w:rPr>
                                  <w:color w:val="FF0000"/>
                                </w:rPr>
                              </w:pPr>
                              <w:r>
                                <w:rPr>
                                  <w:rFonts w:hint="eastAsia"/>
                                  <w:color w:val="FF0000"/>
                                </w:rPr>
                                <w:t>授权代表身份证正面</w:t>
                              </w:r>
                            </w:p>
                            <w:p w14:paraId="5903B124">
                              <w:pPr>
                                <w:jc w:val="center"/>
                                <w:rPr>
                                  <w:rFonts w:hint="eastAsia"/>
                                  <w:color w:val="FF0000"/>
                                  <w:szCs w:val="21"/>
                                </w:rPr>
                              </w:pPr>
                              <w:r>
                                <w:rPr>
                                  <w:rFonts w:hint="eastAsia"/>
                                  <w:color w:val="FF0000"/>
                                </w:rPr>
                                <w:t>复印件</w:t>
                              </w:r>
                            </w:p>
                            <w:p w14:paraId="72872BB3"/>
                          </w:txbxContent>
                        </wps:txbx>
                        <wps:bodyPr rot="0" vert="horz" wrap="square" lIns="91440" tIns="45720" rIns="91440" bIns="45720" anchor="t" anchorCtr="0" upright="1">
                          <a:noAutofit/>
                        </wps:bodyPr>
                      </wps:wsp>
                      <wps:wsp>
                        <wps:cNvPr id="4"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14:paraId="1140EE21">
                              <w:pPr>
                                <w:rPr>
                                  <w:color w:val="FF0000"/>
                                </w:rPr>
                              </w:pPr>
                            </w:p>
                            <w:p w14:paraId="44C0B324">
                              <w:pPr>
                                <w:jc w:val="center"/>
                                <w:rPr>
                                  <w:color w:val="FF0000"/>
                                </w:rPr>
                              </w:pPr>
                              <w:r>
                                <w:rPr>
                                  <w:rFonts w:hint="eastAsia"/>
                                  <w:color w:val="FF0000"/>
                                </w:rPr>
                                <w:t>授权代表身份证反面</w:t>
                              </w:r>
                            </w:p>
                            <w:p w14:paraId="3B82AF54">
                              <w:pPr>
                                <w:jc w:val="center"/>
                                <w:rPr>
                                  <w:rFonts w:hint="eastAsia"/>
                                  <w:color w:val="FF0000"/>
                                  <w:szCs w:val="21"/>
                                </w:rPr>
                              </w:pPr>
                              <w:r>
                                <w:rPr>
                                  <w:rFonts w:hint="eastAsia"/>
                                  <w:color w:val="FF0000"/>
                                </w:rPr>
                                <w:t>复印件</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7.45pt;margin-top:21.65pt;height:138.95pt;width:472.25pt;z-index:251659264;mso-width-relative:page;mso-height-relative:page;" coordorigin="3270,5789" coordsize="6079,1525" o:gfxdata="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ANBiZF2QAAAAkBAAAPAAAAAAAAAAEAIAAA&#10;ACIAAABkcnMvZG93bnJldi54bWxQSwECFAAUAAAACACHTuJALC46hO8CAADJCAAADgAAAAAAAAAB&#10;ACAAAAAoAQAAZHJzL2Uyb0RvYy54bWxQSwUGAAAAAAYABgBZAQAAiQY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0E37F323"/>
                      <w:p w14:paraId="4CC11E34">
                        <w:pPr>
                          <w:jc w:val="center"/>
                          <w:rPr>
                            <w:color w:val="FF0000"/>
                          </w:rPr>
                        </w:pPr>
                        <w:r>
                          <w:rPr>
                            <w:rFonts w:hint="eastAsia"/>
                            <w:color w:val="FF0000"/>
                          </w:rPr>
                          <w:t>授权代表身份证正面</w:t>
                        </w:r>
                      </w:p>
                      <w:p w14:paraId="5903B124">
                        <w:pPr>
                          <w:jc w:val="center"/>
                          <w:rPr>
                            <w:rFonts w:hint="eastAsia"/>
                            <w:color w:val="FF0000"/>
                            <w:szCs w:val="21"/>
                          </w:rPr>
                        </w:pPr>
                        <w:r>
                          <w:rPr>
                            <w:rFonts w:hint="eastAsia"/>
                            <w:color w:val="FF0000"/>
                          </w:rPr>
                          <w:t>复印件</w:t>
                        </w:r>
                      </w:p>
                      <w:p w14:paraId="72872BB3"/>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HgB1PrwAAADa&#10;AAAADwAAAGRycy9kb3ducmV2LnhtbEWPwW7CMBBE70j8g7VIvYFNR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AdT6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1140EE21">
                        <w:pPr>
                          <w:rPr>
                            <w:color w:val="FF0000"/>
                          </w:rPr>
                        </w:pPr>
                      </w:p>
                      <w:p w14:paraId="44C0B324">
                        <w:pPr>
                          <w:jc w:val="center"/>
                          <w:rPr>
                            <w:color w:val="FF0000"/>
                          </w:rPr>
                        </w:pPr>
                        <w:r>
                          <w:rPr>
                            <w:rFonts w:hint="eastAsia"/>
                            <w:color w:val="FF0000"/>
                          </w:rPr>
                          <w:t>授权代表身份证反面</w:t>
                        </w:r>
                      </w:p>
                      <w:p w14:paraId="3B82AF54">
                        <w:pPr>
                          <w:jc w:val="center"/>
                          <w:rPr>
                            <w:rFonts w:hint="eastAsia"/>
                            <w:color w:val="FF0000"/>
                            <w:szCs w:val="21"/>
                          </w:rPr>
                        </w:pPr>
                        <w:r>
                          <w:rPr>
                            <w:rFonts w:hint="eastAsia"/>
                            <w:color w:val="FF0000"/>
                          </w:rPr>
                          <w:t>复印件</w:t>
                        </w:r>
                      </w:p>
                    </w:txbxContent>
                  </v:textbox>
                </v:roundrect>
              </v:group>
            </w:pict>
          </mc:Fallback>
        </mc:AlternateContent>
      </w:r>
      <w:r>
        <w:rPr>
          <w:rFonts w:hint="eastAsia" w:ascii="宋体" w:hAnsi="宋体" w:cs="宋体"/>
          <w:color w:val="000000"/>
          <w:sz w:val="24"/>
          <w:szCs w:val="28"/>
          <w:highlight w:val="none"/>
        </w:rPr>
        <w:t>特此声明。</w:t>
      </w:r>
    </w:p>
    <w:p w14:paraId="224D632A">
      <w:pPr>
        <w:pStyle w:val="3"/>
        <w:rPr>
          <w:rFonts w:hint="eastAsia"/>
          <w:color w:val="000000"/>
          <w:sz w:val="24"/>
          <w:szCs w:val="28"/>
          <w:highlight w:val="none"/>
          <w:lang w:eastAsia="zh-CN"/>
        </w:rPr>
      </w:pPr>
    </w:p>
    <w:p w14:paraId="07D73D7A">
      <w:pPr>
        <w:rPr>
          <w:rFonts w:hint="eastAsia" w:ascii="宋体" w:hAnsi="宋体" w:cs="宋体"/>
          <w:color w:val="000000"/>
          <w:sz w:val="24"/>
          <w:szCs w:val="28"/>
          <w:highlight w:val="none"/>
        </w:rPr>
      </w:pPr>
    </w:p>
    <w:p w14:paraId="3DD1614B">
      <w:pPr>
        <w:pStyle w:val="3"/>
        <w:rPr>
          <w:rFonts w:hint="eastAsia"/>
          <w:highlight w:val="none"/>
          <w:lang w:eastAsia="zh-CN"/>
        </w:rPr>
      </w:pPr>
    </w:p>
    <w:p w14:paraId="06E4C268">
      <w:pPr>
        <w:pStyle w:val="3"/>
        <w:rPr>
          <w:rFonts w:hint="eastAsia"/>
          <w:color w:val="000000"/>
          <w:sz w:val="24"/>
          <w:szCs w:val="28"/>
          <w:highlight w:val="none"/>
          <w:lang w:eastAsia="zh-CN"/>
        </w:rPr>
      </w:pPr>
    </w:p>
    <w:p w14:paraId="47EED99A">
      <w:pPr>
        <w:rPr>
          <w:rFonts w:hint="eastAsia" w:ascii="宋体" w:hAnsi="宋体" w:cs="宋体"/>
          <w:highlight w:val="none"/>
        </w:rPr>
      </w:pPr>
    </w:p>
    <w:p w14:paraId="0E5BADBD">
      <w:pPr>
        <w:spacing w:line="360" w:lineRule="auto"/>
        <w:rPr>
          <w:rFonts w:hint="eastAsia" w:ascii="宋体" w:hAnsi="宋体" w:cs="宋体"/>
          <w:color w:val="000000"/>
          <w:sz w:val="24"/>
          <w:szCs w:val="28"/>
          <w:highlight w:val="none"/>
        </w:rPr>
      </w:pPr>
    </w:p>
    <w:p w14:paraId="4E9CFAC3">
      <w:pPr>
        <w:spacing w:line="360" w:lineRule="auto"/>
        <w:rPr>
          <w:rFonts w:hint="eastAsia" w:ascii="宋体" w:hAnsi="宋体" w:cs="宋体"/>
          <w:color w:val="000000"/>
          <w:sz w:val="24"/>
          <w:szCs w:val="28"/>
          <w:highlight w:val="none"/>
        </w:rPr>
      </w:pPr>
    </w:p>
    <w:p w14:paraId="261D4157">
      <w:pPr>
        <w:spacing w:line="360" w:lineRule="auto"/>
        <w:rPr>
          <w:rFonts w:hint="eastAsia" w:ascii="宋体" w:hAnsi="宋体" w:cs="宋体"/>
          <w:color w:val="000000"/>
          <w:sz w:val="24"/>
          <w:szCs w:val="28"/>
          <w:highlight w:val="none"/>
        </w:rPr>
      </w:pPr>
    </w:p>
    <w:p w14:paraId="74E1A2AB">
      <w:pPr>
        <w:spacing w:line="360" w:lineRule="auto"/>
        <w:rPr>
          <w:rFonts w:hint="eastAsia" w:ascii="宋体" w:hAnsi="宋体" w:cs="宋体"/>
          <w:b/>
          <w:bCs/>
          <w:color w:val="000000"/>
          <w:sz w:val="24"/>
          <w:szCs w:val="28"/>
          <w:highlight w:val="none"/>
        </w:rPr>
      </w:pPr>
      <w:r>
        <w:rPr>
          <w:rFonts w:hint="eastAsia" w:ascii="宋体" w:hAnsi="宋体" w:cs="宋体"/>
          <w:b/>
          <w:bCs/>
          <w:color w:val="000000"/>
          <w:sz w:val="24"/>
          <w:szCs w:val="28"/>
          <w:highlight w:val="none"/>
        </w:rPr>
        <w:t>合作方(公章)：</w:t>
      </w:r>
    </w:p>
    <w:p w14:paraId="05F11BD4">
      <w:pPr>
        <w:spacing w:line="360" w:lineRule="auto"/>
        <w:rPr>
          <w:rFonts w:hint="eastAsia" w:ascii="宋体" w:hAnsi="宋体" w:cs="宋体"/>
          <w:color w:val="000000"/>
          <w:sz w:val="24"/>
          <w:szCs w:val="28"/>
          <w:highlight w:val="none"/>
        </w:rPr>
      </w:pPr>
      <w:r>
        <w:rPr>
          <w:rFonts w:hint="eastAsia" w:ascii="宋体" w:hAnsi="宋体" w:cs="宋体"/>
          <w:color w:val="000000"/>
          <w:sz w:val="24"/>
          <w:szCs w:val="28"/>
          <w:highlight w:val="none"/>
        </w:rPr>
        <w:t xml:space="preserve">日        期： </w:t>
      </w:r>
    </w:p>
    <w:p w14:paraId="77DAD6B2">
      <w:pPr>
        <w:rPr>
          <w:rFonts w:hint="eastAsia" w:ascii="宋体" w:hAnsi="宋体" w:cs="宋体"/>
          <w:color w:val="000000"/>
          <w:sz w:val="28"/>
          <w:szCs w:val="28"/>
          <w:highlight w:val="none"/>
        </w:rPr>
      </w:pPr>
    </w:p>
    <w:p w14:paraId="20736E96">
      <w:pPr>
        <w:pStyle w:val="5"/>
        <w:snapToGrid w:val="0"/>
        <w:spacing w:line="360" w:lineRule="auto"/>
        <w:jc w:val="left"/>
        <w:rPr>
          <w:rFonts w:hint="eastAsia" w:hAnsi="宋体" w:cs="宋体"/>
          <w:color w:val="000000"/>
          <w:sz w:val="24"/>
          <w:szCs w:val="28"/>
          <w:highlight w:val="none"/>
        </w:rPr>
      </w:pPr>
      <w:r>
        <w:rPr>
          <w:rFonts w:hint="eastAsia" w:hAnsi="宋体" w:cs="宋体"/>
          <w:color w:val="000000"/>
          <w:sz w:val="24"/>
          <w:szCs w:val="28"/>
          <w:highlight w:val="none"/>
        </w:rPr>
        <w:t>注：</w:t>
      </w:r>
    </w:p>
    <w:p w14:paraId="7A60A645">
      <w:pPr>
        <w:pStyle w:val="5"/>
        <w:snapToGrid w:val="0"/>
        <w:spacing w:line="360" w:lineRule="auto"/>
        <w:jc w:val="left"/>
        <w:rPr>
          <w:rFonts w:hint="eastAsia" w:hAnsi="宋体" w:cs="宋体"/>
          <w:color w:val="000000"/>
          <w:sz w:val="24"/>
          <w:szCs w:val="28"/>
          <w:highlight w:val="none"/>
        </w:rPr>
      </w:pPr>
      <w:r>
        <w:rPr>
          <w:rFonts w:hint="eastAsia" w:hAnsi="宋体" w:cs="宋体"/>
          <w:color w:val="000000"/>
          <w:sz w:val="24"/>
          <w:szCs w:val="28"/>
          <w:highlight w:val="none"/>
        </w:rPr>
        <w:t>1.本项目只允许有唯一的合作方授权代表，投标文件中提供授权代表身份证</w:t>
      </w:r>
      <w:r>
        <w:rPr>
          <w:rFonts w:hint="eastAsia" w:hAnsi="宋体" w:cs="宋体"/>
          <w:color w:val="000000"/>
          <w:sz w:val="24"/>
          <w:highlight w:val="none"/>
        </w:rPr>
        <w:t>复印件</w:t>
      </w:r>
      <w:r>
        <w:rPr>
          <w:rFonts w:hint="eastAsia" w:hAnsi="宋体" w:cs="宋体"/>
          <w:color w:val="000000"/>
          <w:sz w:val="24"/>
          <w:szCs w:val="28"/>
          <w:highlight w:val="none"/>
        </w:rPr>
        <w:t>。</w:t>
      </w:r>
    </w:p>
    <w:p w14:paraId="4D9A259D">
      <w:pPr>
        <w:pStyle w:val="5"/>
        <w:snapToGrid w:val="0"/>
        <w:spacing w:line="360" w:lineRule="auto"/>
        <w:jc w:val="left"/>
        <w:rPr>
          <w:rFonts w:hint="eastAsia" w:hAnsi="宋体" w:cs="宋体"/>
          <w:color w:val="000000"/>
          <w:sz w:val="28"/>
          <w:szCs w:val="28"/>
          <w:highlight w:val="none"/>
        </w:rPr>
      </w:pPr>
      <w:r>
        <w:rPr>
          <w:rFonts w:hint="eastAsia" w:hAnsi="宋体" w:cs="宋体"/>
          <w:color w:val="000000"/>
          <w:sz w:val="24"/>
          <w:szCs w:val="28"/>
          <w:highlight w:val="none"/>
        </w:rPr>
        <w:t>2.法定代表人参加投标的无需此件，</w:t>
      </w:r>
      <w:r>
        <w:rPr>
          <w:rFonts w:hint="eastAsia" w:hAnsi="宋体" w:cs="宋体"/>
          <w:color w:val="000000"/>
          <w:sz w:val="24"/>
          <w:highlight w:val="none"/>
        </w:rPr>
        <w:t>但投标文件中须提供身份证复印件。</w:t>
      </w:r>
    </w:p>
    <w:p w14:paraId="631F3FB3">
      <w:pPr>
        <w:pStyle w:val="2"/>
        <w:jc w:val="left"/>
        <w:rPr>
          <w:rFonts w:hint="eastAsia" w:hAnsi="宋体" w:cs="宋体"/>
          <w:color w:val="000000"/>
          <w:sz w:val="28"/>
          <w:szCs w:val="28"/>
          <w:highlight w:val="none"/>
        </w:rPr>
      </w:pPr>
      <w:r>
        <w:rPr>
          <w:rFonts w:hint="eastAsia" w:hAnsi="宋体" w:cs="宋体"/>
          <w:color w:val="000000"/>
          <w:sz w:val="28"/>
          <w:szCs w:val="28"/>
          <w:highlight w:val="none"/>
        </w:rPr>
        <w:br w:type="page"/>
      </w:r>
      <w:r>
        <w:rPr>
          <w:rFonts w:hint="eastAsia" w:hAnsi="宋体" w:cs="宋体"/>
          <w:color w:val="000000"/>
          <w:highlight w:val="none"/>
        </w:rPr>
        <w:t>附件二：</w:t>
      </w:r>
      <w:r>
        <w:rPr>
          <w:rFonts w:hint="eastAsia" w:hAnsi="宋体" w:cs="宋体"/>
          <w:color w:val="000000"/>
          <w:sz w:val="28"/>
          <w:szCs w:val="28"/>
          <w:highlight w:val="none"/>
        </w:rPr>
        <w:t xml:space="preserve">                   合作方信用承诺</w:t>
      </w:r>
    </w:p>
    <w:p w14:paraId="789F64C9">
      <w:pPr>
        <w:spacing w:line="360" w:lineRule="auto"/>
        <w:ind w:firstLine="630"/>
        <w:rPr>
          <w:rFonts w:hint="eastAsia" w:ascii="宋体" w:hAnsi="宋体" w:cs="宋体"/>
          <w:color w:val="000000"/>
          <w:sz w:val="24"/>
          <w:highlight w:val="none"/>
        </w:rPr>
      </w:pPr>
      <w:r>
        <w:rPr>
          <w:rFonts w:hint="eastAsia" w:ascii="宋体" w:hAnsi="宋体" w:cs="宋体"/>
          <w:color w:val="000000"/>
          <w:sz w:val="24"/>
          <w:highlight w:val="none"/>
        </w:rPr>
        <w:t>我公司申明，我公司无以下不良信用记录情形：</w:t>
      </w:r>
    </w:p>
    <w:p w14:paraId="3DA0FA46">
      <w:pPr>
        <w:spacing w:line="360" w:lineRule="auto"/>
        <w:ind w:firstLine="630"/>
        <w:rPr>
          <w:rFonts w:hint="eastAsia" w:ascii="宋体" w:hAnsi="宋体" w:cs="宋体"/>
          <w:color w:val="000000"/>
          <w:sz w:val="24"/>
          <w:highlight w:val="none"/>
        </w:rPr>
      </w:pPr>
      <w:r>
        <w:rPr>
          <w:rFonts w:hint="eastAsia" w:ascii="宋体" w:hAnsi="宋体" w:cs="宋体"/>
          <w:color w:val="000000"/>
          <w:sz w:val="24"/>
          <w:highlight w:val="none"/>
        </w:rPr>
        <w:t>1.公司被人民法院列入失信被执行人；</w:t>
      </w:r>
    </w:p>
    <w:p w14:paraId="45141091">
      <w:pPr>
        <w:spacing w:line="360" w:lineRule="auto"/>
        <w:ind w:firstLine="630"/>
        <w:rPr>
          <w:rFonts w:hint="eastAsia" w:ascii="宋体" w:hAnsi="宋体" w:cs="宋体"/>
          <w:color w:val="000000"/>
          <w:sz w:val="24"/>
          <w:highlight w:val="none"/>
        </w:rPr>
      </w:pPr>
      <w:r>
        <w:rPr>
          <w:rFonts w:hint="eastAsia" w:ascii="宋体" w:hAnsi="宋体" w:cs="宋体"/>
          <w:color w:val="000000"/>
          <w:sz w:val="24"/>
          <w:highlight w:val="none"/>
        </w:rPr>
        <w:t>2.公司、公司法定代表人被人民检察院列入行贿犯罪档案；</w:t>
      </w:r>
    </w:p>
    <w:p w14:paraId="0A90CD51">
      <w:pPr>
        <w:spacing w:line="360" w:lineRule="auto"/>
        <w:ind w:firstLine="630"/>
        <w:rPr>
          <w:rFonts w:hint="eastAsia" w:ascii="宋体" w:hAnsi="宋体" w:cs="宋体"/>
          <w:color w:val="000000"/>
          <w:sz w:val="24"/>
          <w:highlight w:val="none"/>
        </w:rPr>
      </w:pPr>
      <w:r>
        <w:rPr>
          <w:rFonts w:hint="eastAsia" w:ascii="宋体" w:hAnsi="宋体" w:cs="宋体"/>
          <w:color w:val="000000"/>
          <w:sz w:val="24"/>
          <w:highlight w:val="none"/>
        </w:rPr>
        <w:t>3.公司被工商行政管理部门列入企业经营异常名录；</w:t>
      </w:r>
    </w:p>
    <w:p w14:paraId="3B03FFE0">
      <w:pPr>
        <w:spacing w:line="360" w:lineRule="auto"/>
        <w:ind w:firstLine="630"/>
        <w:rPr>
          <w:rFonts w:hint="eastAsia" w:ascii="宋体" w:hAnsi="宋体" w:cs="宋体"/>
          <w:color w:val="000000"/>
          <w:sz w:val="24"/>
          <w:highlight w:val="none"/>
        </w:rPr>
      </w:pPr>
      <w:r>
        <w:rPr>
          <w:rFonts w:hint="eastAsia" w:ascii="宋体" w:hAnsi="宋体" w:cs="宋体"/>
          <w:color w:val="000000"/>
          <w:sz w:val="24"/>
          <w:highlight w:val="none"/>
        </w:rPr>
        <w:t>4.公司被税务部门列入重大税收违法案件当事人名单的；</w:t>
      </w:r>
    </w:p>
    <w:p w14:paraId="73663CB5">
      <w:pPr>
        <w:spacing w:line="360" w:lineRule="auto"/>
        <w:ind w:firstLine="630"/>
        <w:rPr>
          <w:rFonts w:hint="eastAsia" w:ascii="宋体" w:hAnsi="宋体" w:cs="宋体"/>
          <w:color w:val="000000"/>
          <w:sz w:val="24"/>
          <w:highlight w:val="none"/>
        </w:rPr>
      </w:pPr>
      <w:r>
        <w:rPr>
          <w:rFonts w:hint="eastAsia" w:ascii="宋体" w:hAnsi="宋体" w:cs="宋体"/>
          <w:color w:val="000000"/>
          <w:sz w:val="24"/>
          <w:highlight w:val="none"/>
        </w:rPr>
        <w:t>5.参加本次招商投标活动前三年内，在服务活动中没有重大违法及安全事故记录。</w:t>
      </w:r>
    </w:p>
    <w:p w14:paraId="6A92E7D6">
      <w:pPr>
        <w:spacing w:line="360" w:lineRule="auto"/>
        <w:ind w:firstLine="630"/>
        <w:rPr>
          <w:rFonts w:hint="eastAsia" w:ascii="宋体" w:hAnsi="宋体" w:cs="宋体"/>
          <w:color w:val="000000"/>
          <w:sz w:val="24"/>
          <w:highlight w:val="none"/>
        </w:rPr>
      </w:pPr>
      <w:r>
        <w:rPr>
          <w:rFonts w:hint="eastAsia" w:ascii="宋体" w:hAnsi="宋体" w:cs="宋体"/>
          <w:color w:val="000000"/>
          <w:sz w:val="24"/>
          <w:highlight w:val="none"/>
        </w:rPr>
        <w:t xml:space="preserve">我公司已就上述不良信用行为按照招商文件规定进行了查询，我公司承诺：合同签订前，若我公司具有不良信用记录情形，贵方可取消我公司中标资格或者不授予合同，所有责任由我公司自行承担。同时，我公司愿意无条件接受监管部门的调查处理。 </w:t>
      </w:r>
    </w:p>
    <w:p w14:paraId="0E4DAD82">
      <w:pPr>
        <w:spacing w:line="360" w:lineRule="auto"/>
        <w:ind w:firstLine="630"/>
        <w:rPr>
          <w:rFonts w:hint="eastAsia" w:ascii="宋体" w:hAnsi="宋体" w:cs="宋体"/>
          <w:b/>
          <w:color w:val="000000"/>
          <w:sz w:val="24"/>
          <w:highlight w:val="none"/>
        </w:rPr>
      </w:pPr>
    </w:p>
    <w:p w14:paraId="7DEA8ED6">
      <w:pPr>
        <w:spacing w:line="360" w:lineRule="auto"/>
        <w:ind w:firstLine="630"/>
        <w:rPr>
          <w:rFonts w:hint="eastAsia" w:ascii="宋体" w:hAnsi="宋体" w:cs="宋体"/>
          <w:b/>
          <w:color w:val="000000"/>
          <w:sz w:val="24"/>
          <w:highlight w:val="none"/>
        </w:rPr>
      </w:pPr>
      <w:r>
        <w:rPr>
          <w:rFonts w:hint="eastAsia" w:ascii="宋体" w:hAnsi="宋体" w:cs="宋体"/>
          <w:b/>
          <w:color w:val="000000"/>
          <w:sz w:val="24"/>
          <w:highlight w:val="none"/>
        </w:rPr>
        <w:t>合作方（公章）：</w:t>
      </w:r>
    </w:p>
    <w:p w14:paraId="52374714">
      <w:pPr>
        <w:rPr>
          <w:rFonts w:ascii="Arial" w:hAnsi="Arial" w:eastAsia="Arial" w:cs="Arial"/>
          <w:szCs w:val="21"/>
          <w:highlight w:val="none"/>
        </w:rPr>
      </w:pPr>
      <w:r>
        <w:rPr>
          <w:rFonts w:ascii="Arial" w:hAnsi="Arial" w:eastAsia="Arial" w:cs="Arial"/>
          <w:szCs w:val="21"/>
          <w:highlight w:val="none"/>
        </w:rPr>
        <w:br w:type="page"/>
      </w:r>
    </w:p>
    <w:p w14:paraId="68474560">
      <w:pPr>
        <w:spacing w:before="120" w:beforeLines="50" w:after="120" w:afterLines="50" w:line="360" w:lineRule="auto"/>
        <w:jc w:val="left"/>
        <w:rPr>
          <w:rFonts w:hint="eastAsia" w:ascii="宋体" w:hAnsi="宋体" w:cs="宋体"/>
          <w:color w:val="000000"/>
          <w:sz w:val="32"/>
          <w:szCs w:val="32"/>
          <w:highlight w:val="none"/>
        </w:rPr>
      </w:pPr>
      <w:r>
        <w:rPr>
          <w:rFonts w:hint="eastAsia" w:ascii="宋体" w:hAnsi="宋体" w:cs="宋体"/>
          <w:b/>
          <w:bCs/>
          <w:color w:val="000000"/>
          <w:sz w:val="32"/>
          <w:szCs w:val="32"/>
          <w:highlight w:val="none"/>
        </w:rPr>
        <w:t xml:space="preserve">附件三： </w:t>
      </w:r>
      <w:r>
        <w:rPr>
          <w:rFonts w:hint="eastAsia" w:ascii="宋体" w:hAnsi="宋体" w:cs="宋体"/>
          <w:color w:val="000000"/>
          <w:sz w:val="32"/>
          <w:szCs w:val="32"/>
          <w:highlight w:val="none"/>
        </w:rPr>
        <w:t xml:space="preserve"> </w:t>
      </w:r>
    </w:p>
    <w:p w14:paraId="4A58D4EC">
      <w:pPr>
        <w:spacing w:before="120" w:beforeLines="50" w:after="120" w:afterLines="50" w:line="360" w:lineRule="auto"/>
        <w:jc w:val="center"/>
        <w:rPr>
          <w:rFonts w:hint="eastAsia" w:ascii="黑体" w:hAnsi="黑体" w:eastAsia="黑体"/>
          <w:sz w:val="36"/>
          <w:szCs w:val="36"/>
          <w:highlight w:val="none"/>
        </w:rPr>
      </w:pPr>
      <w:r>
        <w:rPr>
          <w:rFonts w:hint="eastAsia" w:ascii="黑体" w:hAnsi="黑体" w:eastAsia="黑体"/>
          <w:sz w:val="36"/>
          <w:szCs w:val="36"/>
          <w:highlight w:val="none"/>
        </w:rPr>
        <w:t>信用查询截图</w:t>
      </w:r>
    </w:p>
    <w:p w14:paraId="12157D14">
      <w:pPr>
        <w:rPr>
          <w:rFonts w:hint="eastAsia"/>
          <w:highlight w:val="none"/>
        </w:rPr>
      </w:pPr>
      <w:r>
        <w:rPr>
          <w:rFonts w:hint="eastAsia"/>
          <w:highlight w:val="none"/>
        </w:rPr>
        <w:t>1</w:t>
      </w:r>
      <w:r>
        <w:rPr>
          <w:highlight w:val="none"/>
        </w:rPr>
        <w:t>.</w:t>
      </w:r>
      <w:r>
        <w:rPr>
          <w:rFonts w:hint="eastAsia"/>
          <w:highlight w:val="none"/>
        </w:rPr>
        <w:t xml:space="preserve"> 国家企业信用信息公示系统</w:t>
      </w:r>
    </w:p>
    <w:p w14:paraId="6375B38B">
      <w:pPr>
        <w:rPr>
          <w:highlight w:val="none"/>
        </w:rPr>
      </w:pPr>
    </w:p>
    <w:p w14:paraId="370198F2">
      <w:pPr>
        <w:rPr>
          <w:highlight w:val="none"/>
        </w:rPr>
      </w:pPr>
    </w:p>
    <w:p w14:paraId="2A3E2CE9">
      <w:pPr>
        <w:rPr>
          <w:highlight w:val="none"/>
        </w:rPr>
      </w:pPr>
    </w:p>
    <w:p w14:paraId="20EF3E95">
      <w:pPr>
        <w:rPr>
          <w:highlight w:val="none"/>
        </w:rPr>
      </w:pPr>
    </w:p>
    <w:p w14:paraId="38763581">
      <w:pPr>
        <w:rPr>
          <w:highlight w:val="none"/>
        </w:rPr>
      </w:pPr>
    </w:p>
    <w:p w14:paraId="5A2B6F55">
      <w:pPr>
        <w:rPr>
          <w:highlight w:val="none"/>
        </w:rPr>
      </w:pPr>
    </w:p>
    <w:p w14:paraId="3CCE07EE">
      <w:pPr>
        <w:rPr>
          <w:highlight w:val="none"/>
        </w:rPr>
      </w:pPr>
    </w:p>
    <w:p w14:paraId="235F5A96">
      <w:pPr>
        <w:rPr>
          <w:highlight w:val="none"/>
        </w:rPr>
      </w:pPr>
    </w:p>
    <w:p w14:paraId="1F6B4924">
      <w:pPr>
        <w:rPr>
          <w:highlight w:val="none"/>
        </w:rPr>
      </w:pPr>
    </w:p>
    <w:p w14:paraId="3141AB14">
      <w:pPr>
        <w:rPr>
          <w:highlight w:val="none"/>
        </w:rPr>
      </w:pPr>
    </w:p>
    <w:p w14:paraId="39A5FAEA">
      <w:pPr>
        <w:rPr>
          <w:highlight w:val="none"/>
        </w:rPr>
      </w:pPr>
    </w:p>
    <w:p w14:paraId="600F3E41">
      <w:pPr>
        <w:rPr>
          <w:highlight w:val="none"/>
        </w:rPr>
      </w:pPr>
    </w:p>
    <w:p w14:paraId="439B0FA1">
      <w:pPr>
        <w:rPr>
          <w:highlight w:val="none"/>
        </w:rPr>
      </w:pPr>
    </w:p>
    <w:p w14:paraId="7EFCD26C">
      <w:pPr>
        <w:rPr>
          <w:highlight w:val="none"/>
        </w:rPr>
      </w:pPr>
    </w:p>
    <w:p w14:paraId="2A5AB298">
      <w:pPr>
        <w:rPr>
          <w:rFonts w:hint="eastAsia"/>
          <w:highlight w:val="none"/>
        </w:rPr>
      </w:pPr>
    </w:p>
    <w:p w14:paraId="38CBCD2B">
      <w:pPr>
        <w:rPr>
          <w:rFonts w:hint="eastAsia"/>
          <w:highlight w:val="none"/>
        </w:rPr>
      </w:pPr>
    </w:p>
    <w:p w14:paraId="20C7126A">
      <w:pPr>
        <w:rPr>
          <w:highlight w:val="none"/>
        </w:rPr>
      </w:pPr>
    </w:p>
    <w:p w14:paraId="3FE53C70">
      <w:pPr>
        <w:rPr>
          <w:highlight w:val="none"/>
        </w:rPr>
      </w:pPr>
    </w:p>
    <w:p w14:paraId="1BCEF460">
      <w:pPr>
        <w:rPr>
          <w:highlight w:val="none"/>
        </w:rPr>
      </w:pPr>
    </w:p>
    <w:p w14:paraId="19AAC317">
      <w:pPr>
        <w:rPr>
          <w:rFonts w:hint="eastAsia"/>
          <w:highlight w:val="none"/>
        </w:rPr>
      </w:pPr>
      <w:r>
        <w:rPr>
          <w:rFonts w:hint="eastAsia"/>
          <w:highlight w:val="none"/>
        </w:rPr>
        <w:t>2</w:t>
      </w:r>
      <w:r>
        <w:rPr>
          <w:highlight w:val="none"/>
        </w:rPr>
        <w:t>.</w:t>
      </w:r>
      <w:r>
        <w:rPr>
          <w:rFonts w:hint="eastAsia"/>
          <w:highlight w:val="none"/>
        </w:rPr>
        <w:t xml:space="preserve"> 信用中国</w:t>
      </w:r>
    </w:p>
    <w:p w14:paraId="0D01F4AD">
      <w:pPr>
        <w:rPr>
          <w:highlight w:val="none"/>
        </w:rPr>
      </w:pPr>
    </w:p>
    <w:p w14:paraId="6E372EC8">
      <w:pPr>
        <w:rPr>
          <w:highlight w:val="none"/>
        </w:rPr>
      </w:pPr>
    </w:p>
    <w:p w14:paraId="5902E0E7">
      <w:pPr>
        <w:rPr>
          <w:highlight w:val="none"/>
        </w:rPr>
      </w:pPr>
    </w:p>
    <w:p w14:paraId="1D883C6F">
      <w:pPr>
        <w:rPr>
          <w:highlight w:val="none"/>
        </w:rPr>
      </w:pPr>
    </w:p>
    <w:p w14:paraId="6AB91A64">
      <w:pPr>
        <w:rPr>
          <w:highlight w:val="none"/>
        </w:rPr>
      </w:pPr>
    </w:p>
    <w:p w14:paraId="01515EEE">
      <w:pPr>
        <w:rPr>
          <w:highlight w:val="none"/>
        </w:rPr>
      </w:pPr>
    </w:p>
    <w:p w14:paraId="7B2BFA11">
      <w:pPr>
        <w:rPr>
          <w:highlight w:val="none"/>
        </w:rPr>
      </w:pPr>
    </w:p>
    <w:p w14:paraId="6047E581">
      <w:pPr>
        <w:keepNext/>
        <w:keepLines/>
        <w:spacing w:before="260" w:after="260" w:line="416" w:lineRule="auto"/>
        <w:ind w:firstLine="420" w:firstLineChars="200"/>
        <w:outlineLvl w:val="2"/>
        <w:rPr>
          <w:rFonts w:hint="eastAsia" w:ascii="宋体" w:hAnsi="宋体" w:cs="宋体"/>
          <w:b/>
          <w:bCs/>
          <w:color w:val="000000"/>
          <w:sz w:val="28"/>
          <w:szCs w:val="28"/>
          <w:highlight w:val="none"/>
        </w:rPr>
      </w:pPr>
      <w:r>
        <w:rPr>
          <w:rFonts w:ascii="Arial" w:hAnsi="Arial" w:eastAsia="Arial" w:cs="Arial"/>
          <w:szCs w:val="21"/>
          <w:highlight w:val="none"/>
        </w:rPr>
        <w:br w:type="page"/>
      </w:r>
      <w:r>
        <w:rPr>
          <w:rFonts w:hint="eastAsia" w:ascii="宋体" w:hAnsi="宋体" w:cs="宋体"/>
          <w:b/>
          <w:bCs/>
          <w:sz w:val="32"/>
          <w:szCs w:val="32"/>
          <w:highlight w:val="none"/>
        </w:rPr>
        <w:t xml:space="preserve">附件四： </w:t>
      </w:r>
      <w:r>
        <w:rPr>
          <w:rFonts w:hint="eastAsia" w:ascii="宋体" w:hAnsi="宋体" w:cs="宋体"/>
          <w:b/>
          <w:bCs/>
          <w:sz w:val="28"/>
          <w:szCs w:val="28"/>
          <w:highlight w:val="none"/>
        </w:rPr>
        <w:t xml:space="preserve">                     </w:t>
      </w:r>
      <w:r>
        <w:rPr>
          <w:rFonts w:hint="eastAsia" w:ascii="宋体" w:hAnsi="宋体" w:cs="宋体"/>
          <w:b/>
          <w:bCs/>
          <w:color w:val="000000"/>
          <w:sz w:val="28"/>
          <w:szCs w:val="28"/>
          <w:highlight w:val="none"/>
        </w:rPr>
        <w:t>报价一览表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76"/>
      </w:tblGrid>
      <w:tr w14:paraId="1452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471" w:type="dxa"/>
            <w:tcBorders>
              <w:top w:val="single" w:color="auto" w:sz="4" w:space="0"/>
              <w:bottom w:val="single" w:color="auto" w:sz="4" w:space="0"/>
              <w:right w:val="single" w:color="auto" w:sz="4" w:space="0"/>
            </w:tcBorders>
            <w:noWrap w:val="0"/>
            <w:vAlign w:val="center"/>
          </w:tcPr>
          <w:p w14:paraId="7691C8E6">
            <w:pPr>
              <w:widowControl/>
              <w:spacing w:line="360" w:lineRule="exact"/>
              <w:ind w:firstLine="482" w:firstLineChars="200"/>
              <w:jc w:val="center"/>
              <w:rPr>
                <w:rFonts w:hint="eastAsia" w:ascii="宋体" w:hAnsi="宋体" w:cs="宋体"/>
                <w:b/>
                <w:color w:val="000000"/>
                <w:sz w:val="24"/>
                <w:szCs w:val="22"/>
                <w:highlight w:val="none"/>
              </w:rPr>
            </w:pPr>
            <w:r>
              <w:rPr>
                <w:rFonts w:hint="eastAsia" w:ascii="宋体" w:hAnsi="宋体" w:cs="宋体"/>
                <w:b/>
                <w:color w:val="000000"/>
                <w:sz w:val="24"/>
                <w:szCs w:val="22"/>
                <w:highlight w:val="none"/>
              </w:rPr>
              <w:t>项 目 名 称</w:t>
            </w:r>
          </w:p>
        </w:tc>
        <w:tc>
          <w:tcPr>
            <w:tcW w:w="6876" w:type="dxa"/>
            <w:tcBorders>
              <w:top w:val="single" w:color="auto" w:sz="4" w:space="0"/>
              <w:bottom w:val="single" w:color="auto" w:sz="4" w:space="0"/>
              <w:right w:val="single" w:color="auto" w:sz="4" w:space="0"/>
            </w:tcBorders>
            <w:noWrap w:val="0"/>
            <w:vAlign w:val="center"/>
          </w:tcPr>
          <w:p w14:paraId="4D072AEE">
            <w:pPr>
              <w:spacing w:line="360" w:lineRule="exact"/>
              <w:ind w:firstLine="480" w:firstLineChars="200"/>
              <w:jc w:val="center"/>
              <w:rPr>
                <w:rFonts w:hint="eastAsia" w:ascii="宋体" w:hAnsi="宋体" w:cs="宋体"/>
                <w:bCs/>
                <w:color w:val="000000"/>
                <w:sz w:val="24"/>
                <w:szCs w:val="22"/>
                <w:highlight w:val="none"/>
              </w:rPr>
            </w:pPr>
          </w:p>
        </w:tc>
      </w:tr>
      <w:tr w14:paraId="7FB7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noWrap w:val="0"/>
            <w:vAlign w:val="center"/>
          </w:tcPr>
          <w:p w14:paraId="51C65A8C">
            <w:pPr>
              <w:spacing w:line="360" w:lineRule="exact"/>
              <w:ind w:firstLine="482" w:firstLineChars="200"/>
              <w:jc w:val="center"/>
              <w:rPr>
                <w:rFonts w:hint="eastAsia" w:ascii="宋体" w:hAnsi="宋体" w:cs="宋体"/>
                <w:b/>
                <w:color w:val="000000"/>
                <w:sz w:val="24"/>
                <w:szCs w:val="22"/>
                <w:highlight w:val="none"/>
              </w:rPr>
            </w:pPr>
            <w:r>
              <w:rPr>
                <w:rFonts w:hint="eastAsia" w:ascii="宋体" w:hAnsi="宋体" w:cs="宋体"/>
                <w:b/>
                <w:color w:val="000000"/>
                <w:sz w:val="24"/>
                <w:szCs w:val="22"/>
                <w:highlight w:val="none"/>
              </w:rPr>
              <w:t>合作方全称</w:t>
            </w:r>
          </w:p>
        </w:tc>
        <w:tc>
          <w:tcPr>
            <w:tcW w:w="6876" w:type="dxa"/>
            <w:tcBorders>
              <w:top w:val="nil"/>
            </w:tcBorders>
            <w:noWrap w:val="0"/>
            <w:vAlign w:val="center"/>
          </w:tcPr>
          <w:p w14:paraId="29D9A7E9">
            <w:pPr>
              <w:spacing w:line="360" w:lineRule="auto"/>
              <w:ind w:firstLine="480" w:firstLineChars="200"/>
              <w:rPr>
                <w:rFonts w:hint="eastAsia" w:ascii="宋体" w:hAnsi="宋体" w:cs="宋体"/>
                <w:color w:val="000000"/>
                <w:sz w:val="24"/>
                <w:szCs w:val="22"/>
                <w:highlight w:val="none"/>
              </w:rPr>
            </w:pPr>
          </w:p>
        </w:tc>
      </w:tr>
      <w:tr w14:paraId="3AE9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2471" w:type="dxa"/>
            <w:tcBorders>
              <w:top w:val="nil"/>
            </w:tcBorders>
            <w:noWrap w:val="0"/>
            <w:vAlign w:val="center"/>
          </w:tcPr>
          <w:p w14:paraId="50F21F05">
            <w:pPr>
              <w:spacing w:line="360" w:lineRule="exact"/>
              <w:ind w:firstLine="482" w:firstLineChars="200"/>
              <w:jc w:val="center"/>
              <w:rPr>
                <w:rFonts w:hint="eastAsia" w:ascii="宋体" w:hAnsi="宋体" w:cs="宋体"/>
                <w:b/>
                <w:color w:val="000000"/>
                <w:sz w:val="24"/>
                <w:szCs w:val="22"/>
                <w:highlight w:val="none"/>
              </w:rPr>
            </w:pPr>
            <w:r>
              <w:rPr>
                <w:rFonts w:hint="eastAsia" w:ascii="宋体" w:hAnsi="宋体" w:cs="宋体"/>
                <w:b/>
                <w:color w:val="000000"/>
                <w:sz w:val="24"/>
                <w:szCs w:val="22"/>
                <w:highlight w:val="none"/>
              </w:rPr>
              <w:t>保底报价</w:t>
            </w:r>
          </w:p>
        </w:tc>
        <w:tc>
          <w:tcPr>
            <w:tcW w:w="6876" w:type="dxa"/>
            <w:tcBorders>
              <w:top w:val="nil"/>
            </w:tcBorders>
            <w:noWrap w:val="0"/>
            <w:vAlign w:val="center"/>
          </w:tcPr>
          <w:p w14:paraId="55B5148C">
            <w:pPr>
              <w:spacing w:line="360" w:lineRule="auto"/>
              <w:ind w:right="-670" w:firstLine="480" w:firstLineChars="200"/>
              <w:rPr>
                <w:rFonts w:ascii="宋体" w:hAnsi="宋体" w:cs="宋体"/>
                <w:color w:val="000000"/>
                <w:sz w:val="24"/>
                <w:szCs w:val="22"/>
                <w:highlight w:val="none"/>
              </w:rPr>
            </w:pPr>
            <w:r>
              <w:rPr>
                <w:rFonts w:hint="eastAsia" w:ascii="宋体" w:hAnsi="宋体" w:cs="宋体"/>
                <w:color w:val="000000"/>
                <w:sz w:val="24"/>
                <w:szCs w:val="22"/>
                <w:highlight w:val="none"/>
                <w:u w:val="single"/>
              </w:rPr>
              <w:t xml:space="preserve">            </w:t>
            </w:r>
            <w:r>
              <w:rPr>
                <w:rFonts w:hint="eastAsia" w:ascii="宋体" w:hAnsi="宋体" w:cs="宋体"/>
                <w:color w:val="000000"/>
                <w:sz w:val="24"/>
                <w:szCs w:val="22"/>
                <w:highlight w:val="none"/>
              </w:rPr>
              <w:t xml:space="preserve"> 万元/年</w:t>
            </w:r>
          </w:p>
        </w:tc>
      </w:tr>
      <w:tr w14:paraId="0BB7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9" w:hRule="atLeast"/>
          <w:jc w:val="center"/>
        </w:trPr>
        <w:tc>
          <w:tcPr>
            <w:tcW w:w="2471" w:type="dxa"/>
            <w:tcBorders>
              <w:top w:val="nil"/>
            </w:tcBorders>
            <w:noWrap w:val="0"/>
            <w:vAlign w:val="center"/>
          </w:tcPr>
          <w:p w14:paraId="3AE1BEA6">
            <w:pPr>
              <w:spacing w:line="360" w:lineRule="auto"/>
              <w:ind w:firstLine="482" w:firstLineChars="200"/>
              <w:jc w:val="center"/>
              <w:rPr>
                <w:rFonts w:hint="eastAsia" w:ascii="宋体" w:hAnsi="宋体" w:cs="宋体"/>
                <w:b/>
                <w:color w:val="000000"/>
                <w:sz w:val="24"/>
                <w:szCs w:val="22"/>
                <w:highlight w:val="none"/>
              </w:rPr>
            </w:pPr>
            <w:r>
              <w:rPr>
                <w:rFonts w:hint="eastAsia" w:ascii="宋体" w:hAnsi="宋体" w:cs="宋体"/>
                <w:b/>
                <w:color w:val="000000"/>
                <w:sz w:val="24"/>
                <w:szCs w:val="22"/>
                <w:highlight w:val="none"/>
              </w:rPr>
              <w:t>分成比例</w:t>
            </w:r>
          </w:p>
        </w:tc>
        <w:tc>
          <w:tcPr>
            <w:tcW w:w="6876" w:type="dxa"/>
            <w:tcBorders>
              <w:top w:val="nil"/>
            </w:tcBorders>
            <w:noWrap w:val="0"/>
            <w:vAlign w:val="center"/>
          </w:tcPr>
          <w:p w14:paraId="2085CB5F">
            <w:pPr>
              <w:spacing w:line="360" w:lineRule="auto"/>
              <w:ind w:firstLine="480" w:firstLineChars="200"/>
              <w:jc w:val="left"/>
              <w:rPr>
                <w:rFonts w:ascii="宋体" w:hAnsi="宋体" w:cs="宋体"/>
                <w:color w:val="000000"/>
                <w:sz w:val="24"/>
                <w:szCs w:val="22"/>
                <w:highlight w:val="none"/>
              </w:rPr>
            </w:pPr>
            <w:r>
              <w:rPr>
                <w:rFonts w:hint="eastAsia" w:ascii="宋体" w:hAnsi="宋体" w:cs="宋体"/>
                <w:color w:val="000000"/>
                <w:sz w:val="24"/>
                <w:szCs w:val="22"/>
                <w:highlight w:val="none"/>
              </w:rPr>
              <w:t>含税销售额的</w:t>
            </w:r>
            <w:r>
              <w:rPr>
                <w:rFonts w:hint="eastAsia" w:ascii="宋体" w:hAnsi="宋体" w:cs="宋体"/>
                <w:color w:val="000000"/>
                <w:sz w:val="24"/>
                <w:szCs w:val="22"/>
                <w:highlight w:val="none"/>
                <w:u w:val="single"/>
              </w:rPr>
              <w:t xml:space="preserve">      </w:t>
            </w:r>
            <w:r>
              <w:rPr>
                <w:rFonts w:hint="eastAsia" w:ascii="宋体" w:hAnsi="宋体" w:cs="宋体"/>
                <w:color w:val="000000"/>
                <w:sz w:val="24"/>
                <w:szCs w:val="22"/>
                <w:highlight w:val="none"/>
              </w:rPr>
              <w:t>%</w:t>
            </w:r>
          </w:p>
        </w:tc>
      </w:tr>
    </w:tbl>
    <w:p w14:paraId="2C06EA82">
      <w:pPr>
        <w:spacing w:before="100" w:beforeAutospacing="1" w:after="100" w:afterAutospacing="1" w:line="360" w:lineRule="auto"/>
        <w:ind w:firstLine="482" w:firstLineChars="200"/>
        <w:rPr>
          <w:rFonts w:hint="eastAsia" w:ascii="宋体" w:hAnsi="宋体" w:cs="宋体"/>
          <w:b/>
          <w:color w:val="000000"/>
          <w:sz w:val="24"/>
          <w:szCs w:val="22"/>
          <w:highlight w:val="none"/>
        </w:rPr>
      </w:pPr>
      <w:r>
        <w:rPr>
          <w:rFonts w:hint="eastAsia" w:ascii="宋体" w:hAnsi="宋体" w:cs="宋体"/>
          <w:b/>
          <w:color w:val="000000"/>
          <w:sz w:val="24"/>
          <w:szCs w:val="22"/>
          <w:highlight w:val="none"/>
        </w:rPr>
        <w:t xml:space="preserve">合作方(公章)：    </w:t>
      </w:r>
    </w:p>
    <w:p w14:paraId="26282CA1">
      <w:pPr>
        <w:spacing w:before="100" w:beforeAutospacing="1" w:after="100" w:afterAutospacing="1" w:line="360" w:lineRule="auto"/>
        <w:rPr>
          <w:rFonts w:hint="eastAsia" w:ascii="宋体" w:hAnsi="宋体" w:cs="宋体"/>
          <w:b/>
          <w:bCs/>
          <w:sz w:val="32"/>
          <w:szCs w:val="32"/>
          <w:highlight w:val="none"/>
        </w:rPr>
      </w:pPr>
    </w:p>
    <w:p w14:paraId="4107673D">
      <w:pPr>
        <w:spacing w:before="100" w:beforeAutospacing="1" w:after="100" w:afterAutospacing="1" w:line="360" w:lineRule="auto"/>
        <w:rPr>
          <w:rFonts w:hint="eastAsia" w:ascii="宋体" w:hAnsi="宋体" w:cs="宋体"/>
          <w:b/>
          <w:bCs/>
          <w:sz w:val="32"/>
          <w:szCs w:val="32"/>
          <w:highlight w:val="none"/>
        </w:rPr>
      </w:pPr>
    </w:p>
    <w:p w14:paraId="0FA3A1C3">
      <w:pPr>
        <w:spacing w:before="100" w:beforeAutospacing="1" w:after="100" w:afterAutospacing="1" w:line="360" w:lineRule="auto"/>
        <w:rPr>
          <w:rFonts w:hint="eastAsia" w:ascii="宋体" w:hAnsi="宋体" w:cs="宋体"/>
          <w:b/>
          <w:color w:val="000000"/>
          <w:sz w:val="24"/>
          <w:szCs w:val="2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附件五：</w:t>
      </w:r>
      <w:r>
        <w:rPr>
          <w:rFonts w:hint="eastAsia" w:ascii="宋体" w:hAnsi="宋体" w:cs="宋体"/>
          <w:b/>
          <w:color w:val="000000"/>
          <w:sz w:val="24"/>
          <w:szCs w:val="22"/>
          <w:highlight w:val="none"/>
        </w:rPr>
        <w:t xml:space="preserve">    </w:t>
      </w:r>
    </w:p>
    <w:p w14:paraId="5017D238">
      <w:pPr>
        <w:spacing w:before="100" w:beforeAutospacing="1" w:after="100" w:afterAutospacing="1" w:line="360" w:lineRule="auto"/>
        <w:jc w:val="center"/>
        <w:rPr>
          <w:rFonts w:hint="eastAsia" w:ascii="宋体" w:hAnsi="宋体" w:cs="宋体"/>
          <w:b/>
          <w:color w:val="000000"/>
          <w:sz w:val="24"/>
          <w:szCs w:val="22"/>
          <w:highlight w:val="none"/>
        </w:rPr>
      </w:pPr>
      <w:r>
        <w:rPr>
          <w:rFonts w:hint="eastAsia" w:ascii="宋体" w:hAnsi="宋体" w:cs="宋体"/>
          <w:b/>
          <w:color w:val="000000"/>
          <w:sz w:val="24"/>
          <w:szCs w:val="22"/>
          <w:highlight w:val="none"/>
        </w:rPr>
        <w:t>其他相关证明材料</w:t>
      </w:r>
    </w:p>
    <w:p w14:paraId="210BB16F">
      <w:pPr>
        <w:rPr>
          <w:rFonts w:hint="eastAsia" w:ascii="宋体" w:hAnsi="宋体" w:cs="宋体"/>
          <w:szCs w:val="21"/>
          <w:highlight w:val="none"/>
        </w:rPr>
        <w:sectPr>
          <w:footerReference r:id="rId3" w:type="default"/>
          <w:pgSz w:w="11906" w:h="16839"/>
          <w:pgMar w:top="1118" w:right="967" w:bottom="1362" w:left="967" w:header="878" w:footer="1200" w:gutter="0"/>
          <w:cols w:space="720" w:num="1"/>
        </w:sectPr>
      </w:pPr>
    </w:p>
    <w:p w14:paraId="0443367E">
      <w:pPr>
        <w:spacing w:line="560" w:lineRule="exact"/>
        <w:jc w:val="center"/>
        <w:rPr>
          <w:rFonts w:ascii="方正小标宋简体" w:hAnsi="方正小标宋简体" w:eastAsia="方正小标宋简体" w:cs="方正小标宋简体"/>
          <w:color w:val="000000"/>
          <w:sz w:val="28"/>
          <w:szCs w:val="28"/>
          <w:highlight w:val="none"/>
        </w:rPr>
      </w:pPr>
      <w:r>
        <w:rPr>
          <w:rFonts w:hint="eastAsia" w:ascii="方正小标宋简体" w:hAnsi="方正小标宋简体" w:eastAsia="方正小标宋简体" w:cs="方正小标宋简体"/>
          <w:color w:val="000000"/>
          <w:sz w:val="28"/>
          <w:szCs w:val="28"/>
          <w:highlight w:val="none"/>
        </w:rPr>
        <w:t>合肥野生动物园导览图、纪念票自助打印项目合作经营合同</w:t>
      </w:r>
    </w:p>
    <w:p w14:paraId="2F066F28">
      <w:pPr>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甲方：合肥文旅博览集团野生动物园管理有限公司</w:t>
      </w:r>
    </w:p>
    <w:p w14:paraId="528F6540">
      <w:pPr>
        <w:rPr>
          <w:rFonts w:hint="eastAsia" w:ascii="仿宋_GB2312" w:hAnsi="仿宋_GB2312" w:eastAsia="仿宋_GB2312" w:cs="仿宋_GB2312"/>
          <w:bCs/>
          <w:color w:val="000000"/>
          <w:sz w:val="28"/>
          <w:szCs w:val="28"/>
          <w:highlight w:val="none"/>
        </w:rPr>
      </w:pPr>
      <w:r>
        <w:rPr>
          <w:rFonts w:hint="eastAsia" w:ascii="仿宋_GB2312" w:hAnsi="仿宋_GB2312" w:eastAsia="仿宋_GB2312" w:cs="仿宋_GB2312"/>
          <w:bCs/>
          <w:color w:val="000000"/>
          <w:sz w:val="28"/>
          <w:szCs w:val="28"/>
          <w:highlight w:val="none"/>
        </w:rPr>
        <w:t>乙方：********</w:t>
      </w:r>
    </w:p>
    <w:p w14:paraId="3D356248">
      <w:pPr>
        <w:numPr>
          <w:ilvl w:val="0"/>
          <w:numId w:val="5"/>
        </w:numPr>
        <w:spacing w:line="52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乙双方根据《中华人民共和国民法典》规定，在协商一致的基础上，就甲、乙双方在合肥野生动物园内合作经营导览图、纪念票自助打印项目达成本合同。</w:t>
      </w:r>
    </w:p>
    <w:p w14:paraId="52B1491B">
      <w:pPr>
        <w:spacing w:line="520" w:lineRule="exact"/>
        <w:ind w:firstLine="562" w:firstLineChars="200"/>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一、基本合作内容</w:t>
      </w:r>
    </w:p>
    <w:p w14:paraId="61155F7E">
      <w:pPr>
        <w:spacing w:line="52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1、项目名称：合肥野生动物园导览图、纪念票自助打印。</w:t>
      </w:r>
    </w:p>
    <w:p w14:paraId="21C5907C">
      <w:pPr>
        <w:spacing w:line="52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2、经营范围：导览图、纪念票自助打印。</w:t>
      </w:r>
    </w:p>
    <w:p w14:paraId="58489CE5">
      <w:pPr>
        <w:pStyle w:val="11"/>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000000"/>
          <w:sz w:val="28"/>
          <w:szCs w:val="28"/>
          <w:highlight w:val="none"/>
          <w:lang w:eastAsia="zh-CN"/>
        </w:rPr>
        <w:t>3、</w:t>
      </w:r>
      <w:r>
        <w:rPr>
          <w:rFonts w:hint="eastAsia" w:ascii="仿宋_GB2312" w:hAnsi="仿宋_GB2312" w:eastAsia="仿宋_GB2312" w:cs="仿宋_GB2312"/>
          <w:sz w:val="28"/>
          <w:szCs w:val="28"/>
          <w:highlight w:val="none"/>
          <w:lang w:eastAsia="zh-CN"/>
        </w:rPr>
        <w:t>项目所在位置以及场地基本信息：合肥市高新区望江西路600号合肥野生动物园内2个非固定经营点位（具体位置为南门</w:t>
      </w:r>
      <w:r>
        <w:rPr>
          <w:rFonts w:hint="eastAsia" w:ascii="仿宋_GB2312" w:hAnsi="仿宋_GB2312" w:eastAsia="仿宋_GB2312" w:cs="仿宋_GB2312"/>
          <w:sz w:val="28"/>
          <w:szCs w:val="28"/>
          <w:highlight w:val="none"/>
          <w:lang w:val="en-US" w:eastAsia="zh-CN"/>
        </w:rPr>
        <w:t>内</w:t>
      </w:r>
      <w:r>
        <w:rPr>
          <w:rFonts w:hint="eastAsia" w:ascii="仿宋_GB2312" w:hAnsi="仿宋_GB2312" w:eastAsia="仿宋_GB2312" w:cs="仿宋_GB2312"/>
          <w:sz w:val="28"/>
          <w:szCs w:val="28"/>
          <w:highlight w:val="none"/>
          <w:lang w:eastAsia="zh-CN"/>
        </w:rPr>
        <w:t>和百鸟园附近，</w:t>
      </w:r>
      <w:r>
        <w:rPr>
          <w:rFonts w:hint="eastAsia" w:ascii="仿宋_GB2312" w:hAnsi="仿宋_GB2312" w:eastAsia="仿宋_GB2312" w:cs="仿宋_GB2312"/>
          <w:sz w:val="28"/>
          <w:szCs w:val="28"/>
          <w:highlight w:val="none"/>
          <w:lang w:val="en-US" w:eastAsia="zh-CN"/>
        </w:rPr>
        <w:t>后期可根据甲方要求进行调整</w:t>
      </w:r>
      <w:r>
        <w:rPr>
          <w:rFonts w:hint="eastAsia" w:ascii="仿宋_GB2312" w:hAnsi="仿宋_GB2312" w:eastAsia="仿宋_GB2312" w:cs="仿宋_GB2312"/>
          <w:sz w:val="28"/>
          <w:szCs w:val="28"/>
          <w:highlight w:val="none"/>
          <w:lang w:eastAsia="zh-CN"/>
        </w:rPr>
        <w:t>），面积约</w:t>
      </w:r>
      <w:r>
        <w:rPr>
          <w:rFonts w:hint="eastAsia" w:ascii="仿宋_GB2312" w:hAnsi="仿宋_GB2312" w:eastAsia="仿宋_GB2312" w:cs="仿宋_GB2312"/>
          <w:sz w:val="28"/>
          <w:szCs w:val="28"/>
          <w:highlight w:val="none"/>
          <w:u w:val="single"/>
          <w:lang w:eastAsia="zh-CN"/>
        </w:rPr>
        <w:t xml:space="preserve"> 2</w:t>
      </w:r>
      <w:r>
        <w:rPr>
          <w:rFonts w:hint="eastAsia" w:ascii="Segoe UI Symbol" w:hAnsi="Segoe UI Symbol" w:eastAsia="仿宋_GB2312" w:cs="Segoe UI Symbol"/>
          <w:sz w:val="28"/>
          <w:szCs w:val="28"/>
          <w:highlight w:val="none"/>
          <w:u w:val="single"/>
          <w:lang w:eastAsia="zh-CN"/>
        </w:rPr>
        <w:t xml:space="preserve"> </w:t>
      </w:r>
      <w:r>
        <w:rPr>
          <w:rFonts w:ascii="Segoe UI Symbol" w:hAnsi="Segoe UI Symbol" w:eastAsia="仿宋_GB2312" w:cs="Segoe UI Symbol"/>
          <w:sz w:val="28"/>
          <w:szCs w:val="28"/>
          <w:highlight w:val="none"/>
          <w:lang w:eastAsia="zh-CN"/>
        </w:rPr>
        <w:t>㎡</w:t>
      </w:r>
      <w:r>
        <w:rPr>
          <w:rFonts w:hint="eastAsia" w:ascii="仿宋_GB2312" w:hAnsi="仿宋_GB2312" w:eastAsia="仿宋_GB2312" w:cs="仿宋_GB2312"/>
          <w:sz w:val="28"/>
          <w:szCs w:val="28"/>
          <w:highlight w:val="none"/>
          <w:lang w:eastAsia="zh-CN"/>
        </w:rPr>
        <w:t>/个，共计</w:t>
      </w:r>
      <w:r>
        <w:rPr>
          <w:rFonts w:ascii="仿宋_GB2312" w:hAnsi="仿宋_GB2312" w:eastAsia="仿宋_GB2312" w:cs="仿宋_GB2312"/>
          <w:sz w:val="28"/>
          <w:szCs w:val="28"/>
          <w:highlight w:val="none"/>
          <w:u w:val="single"/>
          <w:lang w:eastAsia="zh-CN"/>
        </w:rPr>
        <w:t xml:space="preserve"> 4 </w:t>
      </w:r>
      <w:r>
        <w:rPr>
          <w:rFonts w:ascii="Segoe UI Symbol" w:hAnsi="Segoe UI Symbol" w:eastAsia="仿宋_GB2312" w:cs="Segoe UI Symbol"/>
          <w:sz w:val="28"/>
          <w:szCs w:val="28"/>
          <w:highlight w:val="none"/>
          <w:lang w:eastAsia="zh-CN"/>
        </w:rPr>
        <w:t>㎡</w:t>
      </w:r>
      <w:r>
        <w:rPr>
          <w:rFonts w:hint="eastAsia" w:ascii="仿宋_GB2312" w:hAnsi="仿宋_GB2312" w:eastAsia="仿宋_GB2312" w:cs="仿宋_GB2312"/>
          <w:sz w:val="28"/>
          <w:szCs w:val="28"/>
          <w:highlight w:val="none"/>
          <w:lang w:eastAsia="zh-CN"/>
        </w:rPr>
        <w:t>。点位合作方需设立打卡点，设计方案需经招商方确认，打卡点位的后期维护维修均由合作方负责。</w:t>
      </w:r>
    </w:p>
    <w:p w14:paraId="65565E26">
      <w:pPr>
        <w:spacing w:line="52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t>、合作期限：</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日至</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日，合同到期后甲方分成达到保底价且乙方通过甲方综合测评合格后，可续签下一年合同，续签不超过两年。</w:t>
      </w:r>
    </w:p>
    <w:p w14:paraId="1FFC3B69">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5、履约保证金为人民币：</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元整 </w:t>
      </w:r>
      <w:r>
        <w:rPr>
          <w:rFonts w:hint="eastAsia" w:ascii="仿宋_GB2312" w:hAnsi="仿宋_GB2312" w:eastAsia="仿宋_GB2312" w:cs="仿宋_GB2312"/>
          <w:sz w:val="28"/>
          <w:szCs w:val="28"/>
          <w:highlight w:val="none"/>
          <w:u w:val="single"/>
        </w:rPr>
        <w:t>（</w:t>
      </w:r>
      <w:r>
        <w:rPr>
          <w:rFonts w:ascii="Calibri" w:hAnsi="Calibri" w:eastAsia="仿宋_GB2312" w:cs="Calibri"/>
          <w:sz w:val="28"/>
          <w:szCs w:val="28"/>
          <w:highlight w:val="none"/>
          <w:u w:val="single"/>
        </w:rPr>
        <w:t>¥</w:t>
      </w:r>
      <w:r>
        <w:rPr>
          <w:rFonts w:hint="eastAsia" w:ascii="仿宋_GB2312" w:hAnsi="仿宋_GB2312" w:eastAsia="仿宋_GB2312" w:cs="仿宋_GB2312"/>
          <w:sz w:val="28"/>
          <w:szCs w:val="28"/>
          <w:highlight w:val="none"/>
          <w:u w:val="single"/>
        </w:rPr>
        <w:t xml:space="preserve">      元）</w:t>
      </w:r>
      <w:r>
        <w:rPr>
          <w:rFonts w:hint="eastAsia" w:ascii="仿宋_GB2312" w:hAnsi="仿宋_GB2312" w:eastAsia="仿宋_GB2312" w:cs="仿宋_GB2312"/>
          <w:sz w:val="28"/>
          <w:szCs w:val="28"/>
          <w:highlight w:val="none"/>
        </w:rPr>
        <w:t>，乙方应在签订合同前将履约保证金交付给甲方，如乙方合同有效期内无违约行为，合同终止后，结清所有费用、办清一切移交手续后30个工作日内将履约保证金不计息地退回给乙方；如乙方发生违约行为，则违约金将直接从履约保证金中扣除。</w:t>
      </w:r>
    </w:p>
    <w:p w14:paraId="278119BE">
      <w:pPr>
        <w:spacing w:line="500" w:lineRule="exact"/>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二、甲方权利义务</w:t>
      </w:r>
    </w:p>
    <w:p w14:paraId="269131B4">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1、甲方对乙方进行运营管理，甲方有权对乙方的运营管理情况及营收数据进行监督和了解。</w:t>
      </w:r>
    </w:p>
    <w:p w14:paraId="0285080D">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2、</w:t>
      </w:r>
      <w:r>
        <w:rPr>
          <w:rFonts w:hint="eastAsia" w:ascii="仿宋_GB2312" w:hAnsi="仿宋_GB2312" w:eastAsia="仿宋_GB2312" w:cs="仿宋_GB2312"/>
          <w:sz w:val="28"/>
          <w:szCs w:val="28"/>
          <w:highlight w:val="none"/>
        </w:rPr>
        <w:t>甲方负责提供合作经营的场地，协调乙方设备落地过程中的接电等基础运营条件，若产生接电等保障基础运营条件的费用由乙方承担。</w:t>
      </w:r>
    </w:p>
    <w:p w14:paraId="341A88E0">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3、甲方有权监督乙方的经营活动，但不得不合理干扰乙方正常经营。</w:t>
      </w:r>
    </w:p>
    <w:p w14:paraId="4462F736">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4、未经甲方书面同意，乙方不得更改合作经营项目的经营范围及超面积经营。</w:t>
      </w:r>
    </w:p>
    <w:p w14:paraId="55BF84E9">
      <w:pPr>
        <w:pStyle w:val="11"/>
        <w:adjustRightInd w:val="0"/>
        <w:snapToGrid w:val="0"/>
        <w:spacing w:line="500" w:lineRule="exact"/>
        <w:ind w:firstLine="560" w:firstLineChars="200"/>
        <w:rPr>
          <w:rFonts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5、</w:t>
      </w:r>
      <w:r>
        <w:rPr>
          <w:rFonts w:hint="eastAsia" w:ascii="仿宋_GB2312" w:hAnsi="仿宋_GB2312" w:eastAsia="仿宋_GB2312" w:cs="仿宋_GB2312"/>
          <w:color w:val="000000"/>
          <w:sz w:val="28"/>
          <w:szCs w:val="28"/>
          <w:highlight w:val="none"/>
          <w:u w:val="single" w:color="FFFFFF"/>
          <w:lang w:eastAsia="zh-CN"/>
        </w:rPr>
        <w:t>如后期因甲方另有整体规划要求需要迁移原有经营点位，乙方需无条件服从并不得以此为由要求赔偿及减免保底价和分成。</w:t>
      </w:r>
      <w:r>
        <w:rPr>
          <w:rFonts w:hint="eastAsia" w:ascii="仿宋_GB2312" w:hAnsi="仿宋_GB2312" w:eastAsia="仿宋_GB2312" w:cs="仿宋_GB2312"/>
          <w:color w:val="000000"/>
          <w:sz w:val="28"/>
          <w:szCs w:val="28"/>
          <w:highlight w:val="none"/>
          <w:lang w:eastAsia="zh-CN"/>
        </w:rPr>
        <w:t>如遇园区后期有新的商业规划在点位附近设置新的业态或在其他点位设置相似业态项目，乙方不得以此为由要求减免保底价及分成。</w:t>
      </w:r>
    </w:p>
    <w:p w14:paraId="5521EED3">
      <w:pPr>
        <w:pStyle w:val="11"/>
        <w:adjustRightInd w:val="0"/>
        <w:snapToGrid w:val="0"/>
        <w:spacing w:line="500" w:lineRule="exact"/>
        <w:ind w:firstLine="560" w:firstLineChars="20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6、若设备出现故障乙方又不能在24小时内解决问题的，甲方有权要求乙方更换全新的设备。</w:t>
      </w:r>
    </w:p>
    <w:p w14:paraId="02E032EA">
      <w:pPr>
        <w:spacing w:line="52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w:t>
      </w:r>
      <w:r>
        <w:rPr>
          <w:rFonts w:hint="eastAsia" w:ascii="仿宋_GB2312" w:hAnsi="仿宋_GB2312" w:eastAsia="仿宋_GB2312" w:cs="仿宋_GB2312"/>
          <w:color w:val="000000"/>
          <w:sz w:val="28"/>
          <w:szCs w:val="28"/>
          <w:highlight w:val="none"/>
          <w:lang w:eastAsia="zh-CN"/>
        </w:rPr>
        <w:t>导览图</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eastAsia="zh-CN"/>
        </w:rPr>
        <w:t>纪念票</w:t>
      </w:r>
      <w:r>
        <w:rPr>
          <w:rFonts w:hint="eastAsia" w:ascii="仿宋_GB2312" w:hAnsi="仿宋_GB2312" w:eastAsia="仿宋_GB2312" w:cs="仿宋_GB2312"/>
          <w:color w:val="000000"/>
          <w:sz w:val="28"/>
          <w:szCs w:val="28"/>
          <w:highlight w:val="none"/>
        </w:rPr>
        <w:t>”等产品知识产权在乙方完成设计并投入生产后归属甲乙双方共同所有。</w:t>
      </w:r>
    </w:p>
    <w:p w14:paraId="68A9F4FC">
      <w:pPr>
        <w:spacing w:line="500" w:lineRule="exact"/>
        <w:textAlignment w:val="baseline"/>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三 、乙方权利义务</w:t>
      </w:r>
    </w:p>
    <w:p w14:paraId="414A9BBA">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场地的日常经营和管理工作由乙方负责，乙方的经营活动，必须遵守国家法律、法规，并接受有关职能部门的检查、监督，乙方需配合甲方的监督行为，对于乙方可能发生或已经发生的损害双方合作基础、甲方权益、公共利益以及违法违规行为进行制止和要求纠正。</w:t>
      </w:r>
    </w:p>
    <w:p w14:paraId="491AA9FD">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2、乙方自行负责使用场地的安全保卫工作，</w:t>
      </w:r>
      <w:r>
        <w:rPr>
          <w:rFonts w:hint="eastAsia" w:ascii="仿宋_GB2312" w:hAnsi="仿宋_GB2312" w:eastAsia="仿宋_GB2312" w:cs="仿宋_GB2312"/>
          <w:color w:val="000000"/>
          <w:sz w:val="28"/>
          <w:szCs w:val="28"/>
          <w:highlight w:val="none"/>
          <w:lang w:val="en-US" w:eastAsia="zh-CN"/>
        </w:rPr>
        <w:t>自行安装电表，</w:t>
      </w:r>
      <w:r>
        <w:rPr>
          <w:rFonts w:hint="eastAsia" w:ascii="仿宋_GB2312" w:hAnsi="仿宋_GB2312" w:eastAsia="仿宋_GB2312" w:cs="仿宋_GB2312"/>
          <w:color w:val="000000"/>
          <w:sz w:val="28"/>
          <w:szCs w:val="28"/>
          <w:highlight w:val="none"/>
        </w:rPr>
        <w:t>乙方存放在该场地内的商品、物品由乙方自己保管，乙方自行负责使用场地内的财产安全。</w:t>
      </w:r>
    </w:p>
    <w:p w14:paraId="4DE819F0">
      <w:pPr>
        <w:spacing w:line="500" w:lineRule="exact"/>
        <w:ind w:firstLine="560" w:firstLineChars="200"/>
        <w:textAlignment w:val="baseline"/>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3、乙方需自行采购经营所需机器并按照要求围绕动物园主题、动植物、自然风貌等元素，开发设计产品不少于</w:t>
      </w: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款彩色产品（导览图</w:t>
      </w:r>
      <w:r>
        <w:rPr>
          <w:rFonts w:hint="eastAsia" w:ascii="仿宋_GB2312" w:hAnsi="仿宋_GB2312" w:eastAsia="仿宋_GB2312" w:cs="仿宋_GB2312"/>
          <w:color w:val="000000"/>
          <w:sz w:val="28"/>
          <w:szCs w:val="28"/>
          <w:highlight w:val="none"/>
          <w:lang w:val="en-US" w:eastAsia="zh-CN"/>
        </w:rPr>
        <w:t>和</w:t>
      </w:r>
      <w:r>
        <w:rPr>
          <w:rFonts w:hint="eastAsia" w:ascii="仿宋_GB2312" w:hAnsi="仿宋_GB2312" w:eastAsia="仿宋_GB2312" w:cs="仿宋_GB2312"/>
          <w:color w:val="000000"/>
          <w:sz w:val="28"/>
          <w:szCs w:val="28"/>
          <w:highlight w:val="none"/>
        </w:rPr>
        <w:t>纪念票</w:t>
      </w:r>
      <w:r>
        <w:rPr>
          <w:rFonts w:hint="eastAsia" w:ascii="仿宋_GB2312" w:hAnsi="仿宋_GB2312" w:eastAsia="仿宋_GB2312" w:cs="仿宋_GB2312"/>
          <w:color w:val="000000"/>
          <w:sz w:val="28"/>
          <w:szCs w:val="28"/>
          <w:highlight w:val="none"/>
          <w:lang w:val="en-US" w:eastAsia="zh-CN"/>
        </w:rPr>
        <w:t>各1款</w:t>
      </w:r>
      <w:r>
        <w:rPr>
          <w:rFonts w:hint="eastAsia" w:ascii="仿宋_GB2312" w:hAnsi="仿宋_GB2312" w:eastAsia="仿宋_GB2312" w:cs="仿宋_GB2312"/>
          <w:color w:val="000000"/>
          <w:sz w:val="28"/>
          <w:szCs w:val="28"/>
          <w:highlight w:val="none"/>
        </w:rPr>
        <w:t>），并根据动物园场馆等变化及时调整产品（</w:t>
      </w:r>
      <w:r>
        <w:rPr>
          <w:rFonts w:hint="eastAsia" w:ascii="仿宋_GB2312" w:hAnsi="仿宋_GB2312" w:eastAsia="仿宋_GB2312" w:cs="仿宋_GB2312"/>
          <w:color w:val="000000"/>
          <w:sz w:val="28"/>
          <w:szCs w:val="28"/>
          <w:highlight w:val="none"/>
          <w:lang w:val="en-US" w:eastAsia="zh-CN"/>
        </w:rPr>
        <w:t>10个自然</w:t>
      </w:r>
      <w:r>
        <w:rPr>
          <w:rFonts w:hint="eastAsia" w:ascii="仿宋_GB2312" w:hAnsi="仿宋_GB2312" w:eastAsia="仿宋_GB2312" w:cs="仿宋_GB2312"/>
          <w:color w:val="000000"/>
          <w:sz w:val="28"/>
          <w:szCs w:val="28"/>
          <w:highlight w:val="none"/>
        </w:rPr>
        <w:t>日内调整并审核完成），</w:t>
      </w:r>
      <w:r>
        <w:rPr>
          <w:rFonts w:hint="eastAsia" w:ascii="仿宋_GB2312" w:hAnsi="仿宋_GB2312" w:eastAsia="仿宋_GB2312" w:cs="仿宋_GB2312"/>
          <w:color w:val="000000"/>
          <w:sz w:val="28"/>
          <w:szCs w:val="28"/>
          <w:highlight w:val="none"/>
          <w:lang w:val="en-US" w:eastAsia="zh-CN"/>
        </w:rPr>
        <w:t>乙</w:t>
      </w:r>
      <w:r>
        <w:rPr>
          <w:rFonts w:hint="eastAsia" w:ascii="仿宋_GB2312" w:hAnsi="仿宋_GB2312" w:eastAsia="仿宋_GB2312" w:cs="仿宋_GB2312"/>
          <w:color w:val="000000"/>
          <w:sz w:val="28"/>
          <w:szCs w:val="28"/>
          <w:highlight w:val="none"/>
        </w:rPr>
        <w:t>方承诺为游客提供免费版园区导览图（A3版）和纪念票</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所有产品设计方案需经甲方审核同意。同时结合甲方统一商业规划要求，对场地摆放的机器进行装饰，装饰方案须经甲方同意后方可实行。装饰费用及合同期内设备的维修费用全部由乙方自行承担，未经甲方允许，不得在场地内私搭乱建，不得破坏周边绿化。机器摆放后的场所因政府部门要求拆迁（如生态红线内违规建设等原因）、城市建设需要被依法动迁或因甲方改造提升需要进行更换场地的，甲方不负责赔偿。</w:t>
      </w:r>
    </w:p>
    <w:p w14:paraId="0B890756">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4、乙方自行负责使用场地的消防安全工作，在机器设备附近自行配置消防设备且定期更换，同时自行承担因消防问题引起的一切不利后果。</w:t>
      </w:r>
    </w:p>
    <w:p w14:paraId="48339E9A">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5、乙方应配合甲方做好公共部位、公共场所的消防、安全和环境秩序工作。</w:t>
      </w:r>
    </w:p>
    <w:p w14:paraId="4CA3E62C">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6、乙方不得在场地内存放易燃易爆、化学危险品。</w:t>
      </w:r>
    </w:p>
    <w:p w14:paraId="440D7883">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7、乙方经营过程对外发生的债权债务，以及与消费者或者客户间发生的争议和纠纷，以及遭受的行政处罚、行政强制措施等，均由乙方自行负责解决，因此给甲方造成损失的，乙方应当负责赔偿。</w:t>
      </w:r>
    </w:p>
    <w:p w14:paraId="3591FEC1">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8、乙方应当承担对场地内人员（包括但不限于消费、客户、店员）的安全保障义务，并自行承担相应法律责任。</w:t>
      </w:r>
    </w:p>
    <w:p w14:paraId="556DFBD4">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9、乙方在项目运营过程中所提供的服务，应负责起售后或善后工作。</w:t>
      </w:r>
    </w:p>
    <w:p w14:paraId="54C0E48C">
      <w:pPr>
        <w:spacing w:line="500" w:lineRule="exact"/>
        <w:ind w:firstLine="435"/>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10、对于在设备上及场地内外或在公共部位张贴、悬挂或展示任何广告、宣传标语、招牌、符号、装饰、灯饰、标志，均应当得到甲方确认，具体的张贴、悬挂和展示工作由乙方负责实施，并由乙方对实施后果和安全性负责。</w:t>
      </w:r>
    </w:p>
    <w:p w14:paraId="34609BDB">
      <w:pPr>
        <w:spacing w:line="46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合作期间发生的电、网络等公共设施和公共能源费用由乙方缴纳，电费按季度缴纳【电费按照上季度（前一个季度）供电局收取我公司电费的单价均价计算，后期电费单价如有变动，根据实际价格进行调整】，乙方在收到甲方电费通知单后1个月内缴清费用，否则自逾期之日起甲方应按欠费金额为基数、日万分之五标准向乙方计收逾期违约金，直至乙方付清欠款之日止。</w:t>
      </w:r>
    </w:p>
    <w:p w14:paraId="2E0ACFF9">
      <w:pPr>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12、</w:t>
      </w:r>
      <w:r>
        <w:rPr>
          <w:rFonts w:hint="eastAsia" w:ascii="仿宋_GB2312" w:hAnsi="仿宋_GB2312" w:eastAsia="仿宋_GB2312" w:cs="仿宋_GB2312"/>
          <w:sz w:val="28"/>
          <w:szCs w:val="28"/>
          <w:highlight w:val="none"/>
        </w:rPr>
        <w:t>项目在运营期间产生的经营收入由乙方直接收取，乙方应向甲方开放商家版管理后台查看权限，以方便甲方监督查看营收数据。甲、乙双方按照分成比例进行分成和结算。乙方不得使用其它方式对外收取销售款，不得更改后台营收数据，如发现乙方有对营收数据隐匿、做假等情形，甲方有权解除合同并追究乙方违约责任。。</w:t>
      </w:r>
    </w:p>
    <w:p w14:paraId="6AF51E26">
      <w:pPr>
        <w:spacing w:line="500" w:lineRule="exact"/>
        <w:ind w:firstLine="560" w:firstLineChars="200"/>
        <w:textAlignment w:val="baseline"/>
        <w:rPr>
          <w:rFonts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13、乙方负责消费者发票的开具及售后，因</w:t>
      </w:r>
      <w:r>
        <w:rPr>
          <w:rFonts w:hint="eastAsia" w:ascii="仿宋_GB2312" w:hAnsi="仿宋_GB2312" w:eastAsia="仿宋_GB2312" w:cs="仿宋_GB2312"/>
          <w:color w:val="000000"/>
          <w:sz w:val="28"/>
          <w:szCs w:val="28"/>
          <w:highlight w:val="none"/>
        </w:rPr>
        <w:t>乙方未及时开具发票导致客户投诉的由乙方负责解决。</w:t>
      </w:r>
    </w:p>
    <w:p w14:paraId="1A5A0D29">
      <w:pPr>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w:t>
      </w:r>
      <w:r>
        <w:rPr>
          <w:rFonts w:hint="eastAsia" w:ascii="仿宋_GB2312" w:hAnsi="仿宋_GB2312" w:eastAsia="仿宋_GB2312" w:cs="仿宋_GB2312"/>
          <w:color w:val="000000"/>
          <w:sz w:val="28"/>
          <w:szCs w:val="28"/>
          <w:highlight w:val="none"/>
        </w:rPr>
        <w:t>乙方负责合同履行期内场地日常维护管理、安全、消防等事项并承担产生的相应费用。</w:t>
      </w:r>
    </w:p>
    <w:p w14:paraId="419A5DC9">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15、乙方在经营过程中使用的所有商标、专利、著作权等知识产权，应确保不侵犯任何第三方权益。因乙方侵犯第三方知识产权而引起的任何纠纷或损失，均由乙方自行承担，与甲方无关。如因此给甲方造成损失的，乙方应予以全额赔偿。</w:t>
      </w:r>
    </w:p>
    <w:p w14:paraId="4F5DDD83">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16、</w:t>
      </w:r>
      <w:r>
        <w:rPr>
          <w:rFonts w:hint="eastAsia" w:ascii="仿宋_GB2312" w:hAnsi="仿宋_GB2312" w:eastAsia="仿宋_GB2312" w:cs="仿宋_GB2312"/>
          <w:sz w:val="28"/>
          <w:szCs w:val="28"/>
          <w:highlight w:val="none"/>
        </w:rPr>
        <w:t>乙方在项目运营过程中所提供的服务，应负责起售后或善后工作。项目均需提供快速响应的24小时客服支持，建立投诉处理机制，对用户投诉及时进行调查处理，保障用户权益，节假日安排专人负责项目运营、货物补充及情况处理。</w:t>
      </w:r>
    </w:p>
    <w:p w14:paraId="581442B3">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17、乙方需定期对设备进行维护及检修，合同期内发生的一切安全事故责任均由乙方负责。</w:t>
      </w:r>
    </w:p>
    <w:p w14:paraId="26A994E5">
      <w:pPr>
        <w:spacing w:line="50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18</w:t>
      </w:r>
      <w:r>
        <w:rPr>
          <w:rFonts w:ascii="仿宋_GB2312" w:hAnsi="仿宋_GB2312" w:eastAsia="仿宋_GB2312" w:cs="仿宋_GB2312"/>
          <w:sz w:val="28"/>
          <w:szCs w:val="28"/>
          <w:highlight w:val="none"/>
        </w:rPr>
        <w:t>、甲</w:t>
      </w:r>
      <w:r>
        <w:rPr>
          <w:rFonts w:hint="eastAsia" w:ascii="仿宋_GB2312" w:hAnsi="仿宋_GB2312" w:eastAsia="仿宋_GB2312" w:cs="仿宋_GB2312"/>
          <w:sz w:val="28"/>
          <w:szCs w:val="28"/>
          <w:highlight w:val="none"/>
        </w:rPr>
        <w:t>乙双方约定在</w:t>
      </w:r>
      <w:r>
        <w:rPr>
          <w:rFonts w:hint="eastAsia" w:ascii="仿宋_GB2312" w:hAnsi="仿宋_GB2312" w:eastAsia="仿宋_GB2312" w:cs="仿宋_GB2312"/>
          <w:sz w:val="28"/>
          <w:szCs w:val="28"/>
          <w:highlight w:val="none"/>
          <w:lang w:eastAsia="zh-CN"/>
        </w:rPr>
        <w:t>导览图、纪念票自助打印</w:t>
      </w:r>
      <w:r>
        <w:rPr>
          <w:rFonts w:hint="eastAsia" w:ascii="仿宋_GB2312" w:hAnsi="仿宋_GB2312" w:eastAsia="仿宋_GB2312" w:cs="仿宋_GB2312"/>
          <w:sz w:val="28"/>
          <w:szCs w:val="28"/>
          <w:highlight w:val="none"/>
        </w:rPr>
        <w:t>业务中协商确定产品销售价格，后续如需调整需要征得甲方同意。同时乙方需无条件配合相关部门要求提供包含但不限于财务、营运等材料，并确保其真实性与合法性，否则按违约处理。</w:t>
      </w:r>
    </w:p>
    <w:p w14:paraId="4B286F40">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19</w:t>
      </w:r>
      <w:r>
        <w:rPr>
          <w:rFonts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rPr>
        <w:t>须确保按照</w:t>
      </w:r>
      <w:r>
        <w:rPr>
          <w:rFonts w:hint="eastAsia" w:ascii="仿宋_GB2312" w:hAnsi="仿宋_GB2312" w:eastAsia="仿宋_GB2312" w:cs="仿宋_GB2312"/>
          <w:sz w:val="28"/>
          <w:szCs w:val="28"/>
          <w:highlight w:val="none"/>
          <w:lang w:val="en-US" w:eastAsia="zh-CN"/>
        </w:rPr>
        <w:t>甲</w:t>
      </w:r>
      <w:r>
        <w:rPr>
          <w:rFonts w:hint="eastAsia" w:ascii="仿宋_GB2312" w:hAnsi="仿宋_GB2312" w:eastAsia="仿宋_GB2312" w:cs="仿宋_GB2312"/>
          <w:sz w:val="28"/>
          <w:szCs w:val="28"/>
          <w:highlight w:val="none"/>
        </w:rPr>
        <w:t>方的需求及时安全地放置设备，并确保产品的供应</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不得在未经甲方同意的情况下擅自移动或搬走机器设备。</w:t>
      </w:r>
    </w:p>
    <w:p w14:paraId="631AE8F2">
      <w:pPr>
        <w:spacing w:line="500" w:lineRule="exact"/>
        <w:ind w:firstLine="560" w:firstLineChars="200"/>
        <w:rPr>
          <w:rFonts w:hint="eastAsia" w:ascii="仿宋_GB2312" w:hAnsi="仿宋_GB2312" w:eastAsia="仿宋_GB2312" w:cs="仿宋_GB2312"/>
          <w:color w:val="FF0000"/>
          <w:sz w:val="28"/>
          <w:szCs w:val="28"/>
          <w:highlight w:val="none"/>
        </w:rPr>
      </w:pPr>
      <w:r>
        <w:rPr>
          <w:rFonts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rPr>
        <w:t>0、乙方每季度有效投诉不得超过1起，超过的每起有效投诉乙方需支付500元违约金，造成舆情的，不论原因每起舆情乙方需支付违约金3000元（以收到政府相关部门舆情提示单为准），所有违约金乙方应在收到甲方通知后10个工作日内缴纳，如未缴纳，甲方有权从履约保证金中扣减，直至履约保证金扣完后甲方有权解约。</w:t>
      </w:r>
    </w:p>
    <w:p w14:paraId="38623AB2">
      <w:pPr>
        <w:spacing w:line="500" w:lineRule="exact"/>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四、场地的装修</w:t>
      </w:r>
    </w:p>
    <w:p w14:paraId="5A3E4949">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1、合作经营场地的设备安装及装饰装修工作由乙方负责，与设备安装及装饰装修相关的审批、申请、验收等手续由乙方负责，费用由乙方承担。</w:t>
      </w:r>
    </w:p>
    <w:p w14:paraId="741B3931">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乙方在使用期间，不得未经甲方允许擅自在场地附加建筑。乙方的装饰方案应当经甲方同意。但乙方应当对其装饰装修行为的合法性、安全性、可靠性、有效性负责，甲方的同意行为不视为对乙方上述义务的减轻或者豁免。</w:t>
      </w:r>
    </w:p>
    <w:p w14:paraId="0C085202">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3、如乙方因经营需要对安全、消防、水、电、通讯等基础设施、设备进行改造或升级的，须事先征得甲方的同意方可进行，改造升级的施工由乙方负责，所需各项费用均由乙方承担，</w:t>
      </w:r>
      <w:r>
        <w:rPr>
          <w:rFonts w:hint="eastAsia" w:ascii="仿宋_GB2312" w:hAnsi="仿宋_GB2312" w:eastAsia="仿宋_GB2312" w:cs="仿宋_GB2312"/>
          <w:sz w:val="28"/>
          <w:szCs w:val="28"/>
          <w:highlight w:val="none"/>
        </w:rPr>
        <w:t>设施改造升级后不可移动的部分应在合作期限结束后无偿地移交给甲方。</w:t>
      </w:r>
    </w:p>
    <w:p w14:paraId="271E1D56">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乙方自行办理经营、设计、装修涉及的规划、环保、卫生、水、电、气、通讯、消防改造验收等国家规定的相关报批手续，所产生的相关费用由乙方承担。甲方应及时提供办理资质文件所需的资料，乙方对合作经营场地的装修改造工程必须符合相关法律法规，乙方装修改造工程依法需要报建的，乙方还应当自行办理规定的报建手续。</w:t>
      </w:r>
    </w:p>
    <w:p w14:paraId="3C930E43">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5、乙方应当对其在本合同项下装饰装修、改造行为的安全性、合法性、可靠性、有效性负责，甲方在本合同项下的任何同意、审核行为不视为对乙方上述责任和义务的减轻或者豁免。</w:t>
      </w:r>
    </w:p>
    <w:p w14:paraId="40FB1721">
      <w:pPr>
        <w:spacing w:line="500" w:lineRule="exact"/>
        <w:ind w:firstLine="560"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color w:val="000000"/>
          <w:sz w:val="28"/>
          <w:szCs w:val="28"/>
          <w:highlight w:val="none"/>
        </w:rPr>
        <w:t>6、因乙方的装修改造行为使甲方陷入与第三方纠纷或者使甲方被第三方索赔，或者使甲方遭受行政处罚的，甲方有权向乙方追偿所遭受的全部损失。</w:t>
      </w:r>
    </w:p>
    <w:p w14:paraId="4200DF53">
      <w:pPr>
        <w:spacing w:line="500" w:lineRule="exact"/>
        <w:outlineLvl w:val="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五、场地的维护维修</w:t>
      </w:r>
    </w:p>
    <w:p w14:paraId="38845ADD">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1、乙方在接收合作经营场地后投入的设施设备以及装饰装修由乙方负责维护维修。</w:t>
      </w:r>
    </w:p>
    <w:p w14:paraId="75E698DA">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2、乙方应合理使用合作经营场地，爱护周边环境及设施，对于因乙方原因导致的损坏，由乙方负责维修及赔偿因此给甲方造成的损失。</w:t>
      </w:r>
    </w:p>
    <w:p w14:paraId="51D01A02">
      <w:pPr>
        <w:spacing w:line="500" w:lineRule="exact"/>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六、收益和分成</w:t>
      </w:r>
    </w:p>
    <w:p w14:paraId="6B6997BD">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w:t>
      </w:r>
      <w:r>
        <w:rPr>
          <w:rFonts w:hint="eastAsia" w:ascii="仿宋_GB2312" w:hAnsi="仿宋_GB2312" w:eastAsia="仿宋_GB2312" w:cs="仿宋_GB2312"/>
          <w:sz w:val="28"/>
          <w:szCs w:val="28"/>
          <w:highlight w:val="none"/>
        </w:rPr>
        <w:t>甲方按照销售额（含税）的</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%收取收益分成。</w:t>
      </w:r>
    </w:p>
    <w:p w14:paraId="423CA0FA">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2、乙方须开放项目销售数据端口，确保甲方实时了解销售数据，收益按比例分成。</w:t>
      </w:r>
    </w:p>
    <w:p w14:paraId="2937B73A">
      <w:pPr>
        <w:widowControl/>
        <w:spacing w:line="500" w:lineRule="exact"/>
        <w:ind w:firstLine="560" w:firstLineChars="200"/>
        <w:rPr>
          <w:rFonts w:hint="eastAsia" w:ascii="仿宋_GB2312" w:hAnsi="仿宋_GB2312" w:eastAsia="仿宋_GB2312" w:cs="仿宋_GB2312"/>
          <w:sz w:val="28"/>
          <w:szCs w:val="28"/>
          <w:highlight w:val="none"/>
          <w:u w:val="single" w:color="FFFFFF"/>
        </w:rPr>
      </w:pPr>
      <w:r>
        <w:rPr>
          <w:rFonts w:hint="eastAsia" w:ascii="仿宋_GB2312" w:hAnsi="仿宋_GB2312" w:eastAsia="仿宋_GB2312" w:cs="仿宋_GB2312"/>
          <w:color w:val="000000"/>
          <w:sz w:val="28"/>
          <w:szCs w:val="28"/>
          <w:highlight w:val="none"/>
        </w:rPr>
        <w:t>3、</w:t>
      </w:r>
      <w:r>
        <w:rPr>
          <w:rFonts w:hint="eastAsia" w:ascii="仿宋_GB2312" w:hAnsi="仿宋_GB2312" w:eastAsia="仿宋_GB2312" w:cs="仿宋_GB2312"/>
          <w:sz w:val="28"/>
          <w:szCs w:val="28"/>
          <w:highlight w:val="none"/>
        </w:rPr>
        <w:t>项目在运营期间产生的经营收入由乙方直接收取，合作方在合同签订后10个工作日内将首年保底报价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元</w:t>
      </w:r>
      <w:r>
        <w:rPr>
          <w:rFonts w:hint="eastAsia" w:ascii="仿宋_GB2312" w:hAnsi="仿宋_GB2312" w:eastAsia="仿宋_GB2312" w:cs="仿宋_GB2312"/>
          <w:sz w:val="28"/>
          <w:szCs w:val="28"/>
          <w:highlight w:val="none"/>
        </w:rPr>
        <w:t>转到甲方账户，以后每年保底报价在上一个合同年结束后10</w:t>
      </w:r>
      <w:r>
        <w:rPr>
          <w:rFonts w:hint="eastAsia" w:ascii="仿宋_GB2312" w:hAnsi="仿宋_GB2312" w:eastAsia="仿宋_GB2312" w:cs="仿宋_GB2312"/>
          <w:sz w:val="28"/>
          <w:szCs w:val="28"/>
          <w:highlight w:val="none"/>
          <w:lang w:val="en-US" w:eastAsia="zh-CN"/>
        </w:rPr>
        <w:t>个工作</w:t>
      </w:r>
      <w:r>
        <w:rPr>
          <w:rFonts w:hint="eastAsia" w:ascii="仿宋_GB2312" w:hAnsi="仿宋_GB2312" w:eastAsia="仿宋_GB2312" w:cs="仿宋_GB2312"/>
          <w:sz w:val="28"/>
          <w:szCs w:val="28"/>
          <w:highlight w:val="none"/>
        </w:rPr>
        <w:t>日内转入。按季度进行预结算，在每个季度结束后</w:t>
      </w:r>
      <w:r>
        <w:rPr>
          <w:rFonts w:hint="eastAsia" w:ascii="仿宋_GB2312" w:hAnsi="仿宋_GB2312" w:eastAsia="仿宋_GB2312" w:cs="仿宋_GB2312"/>
          <w:sz w:val="28"/>
          <w:szCs w:val="28"/>
          <w:highlight w:val="none"/>
          <w:lang w:val="en-US" w:eastAsia="zh-CN"/>
        </w:rPr>
        <w:t>10个工作</w:t>
      </w:r>
      <w:r>
        <w:rPr>
          <w:rFonts w:hint="eastAsia" w:ascii="仿宋_GB2312" w:hAnsi="仿宋_GB2312" w:eastAsia="仿宋_GB2312" w:cs="仿宋_GB2312"/>
          <w:sz w:val="28"/>
          <w:szCs w:val="28"/>
          <w:highlight w:val="none"/>
        </w:rPr>
        <w:t>日内甲乙双方进行对账并形成确认单</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每个合同年</w:t>
      </w:r>
      <w:r>
        <w:rPr>
          <w:rFonts w:hint="eastAsia" w:ascii="仿宋_GB2312" w:hAnsi="仿宋_GB2312" w:eastAsia="仿宋_GB2312" w:cs="仿宋_GB2312"/>
          <w:sz w:val="28"/>
          <w:szCs w:val="28"/>
          <w:highlight w:val="none"/>
        </w:rPr>
        <w:t>甲方分成总额≤保底报价时，甲方不再分成，营业款由乙方收取；甲方分成总额&gt;保底报价时，甲方按分成比例进行分成，超出保底报价的分成款乙方需在双方对账确认后10个工作日内转入甲方账户，如未转入</w:t>
      </w:r>
      <w:r>
        <w:rPr>
          <w:rFonts w:hint="eastAsia" w:ascii="仿宋_GB2312" w:hAnsi="仿宋_GB2312" w:eastAsia="仿宋_GB2312" w:cs="仿宋_GB2312"/>
          <w:sz w:val="28"/>
          <w:szCs w:val="28"/>
          <w:highlight w:val="none"/>
          <w:lang w:val="en-US" w:eastAsia="zh-CN"/>
        </w:rPr>
        <w:t>甲</w:t>
      </w:r>
      <w:r>
        <w:rPr>
          <w:rFonts w:hint="eastAsia" w:ascii="仿宋_GB2312" w:hAnsi="仿宋_GB2312" w:eastAsia="仿宋_GB2312" w:cs="仿宋_GB2312"/>
          <w:sz w:val="28"/>
          <w:szCs w:val="28"/>
          <w:highlight w:val="none"/>
        </w:rPr>
        <w:t>方有权从</w:t>
      </w:r>
      <w:r>
        <w:rPr>
          <w:rFonts w:hint="eastAsia" w:ascii="仿宋_GB2312" w:hAnsi="仿宋_GB2312" w:eastAsia="仿宋_GB2312" w:cs="仿宋_GB2312"/>
          <w:sz w:val="28"/>
          <w:szCs w:val="28"/>
          <w:highlight w:val="none"/>
          <w:lang w:val="en-US" w:eastAsia="zh-CN"/>
        </w:rPr>
        <w:t>乙</w:t>
      </w:r>
      <w:r>
        <w:rPr>
          <w:rFonts w:hint="eastAsia" w:ascii="仿宋_GB2312" w:hAnsi="仿宋_GB2312" w:eastAsia="仿宋_GB2312" w:cs="仿宋_GB2312"/>
          <w:sz w:val="28"/>
          <w:szCs w:val="28"/>
          <w:highlight w:val="none"/>
        </w:rPr>
        <w:t>方缴纳的履约保证金中扣除，扣除后合同终止。乙方应向甲方开放商家版管理后台查看权限，甲方收到分成款后，向乙方提供</w:t>
      </w:r>
      <w:r>
        <w:rPr>
          <w:rFonts w:hint="eastAsia" w:ascii="仿宋_GB2312" w:hAnsi="仿宋_GB2312" w:eastAsia="仿宋_GB2312" w:cs="仿宋_GB2312"/>
          <w:sz w:val="28"/>
          <w:szCs w:val="28"/>
          <w:highlight w:val="none"/>
          <w:lang w:val="en-US" w:eastAsia="zh-CN"/>
        </w:rPr>
        <w:t>相应的合法合规增值税</w:t>
      </w:r>
      <w:r>
        <w:rPr>
          <w:rFonts w:hint="eastAsia" w:ascii="仿宋_GB2312" w:hAnsi="仿宋_GB2312" w:eastAsia="仿宋_GB2312" w:cs="仿宋_GB2312"/>
          <w:sz w:val="28"/>
          <w:szCs w:val="28"/>
          <w:highlight w:val="none"/>
        </w:rPr>
        <w:t>发票。合同期内最后一次打款需在甲乙双方对账无误后</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rPr>
        <w:t>个工作日内完成。</w:t>
      </w:r>
    </w:p>
    <w:p w14:paraId="37EF3DA1">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color w:val="000000"/>
          <w:sz w:val="28"/>
          <w:szCs w:val="28"/>
          <w:highlight w:val="none"/>
        </w:rPr>
        <w:t>、甲方收款账户及开票信息:</w:t>
      </w:r>
    </w:p>
    <w:p w14:paraId="5686CFB4">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公司名称：合肥文旅博览集团野生动物园管理有限公司</w:t>
      </w:r>
    </w:p>
    <w:p w14:paraId="300BF418">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纳税人识别号：91340100MAD15H6X3E</w:t>
      </w:r>
    </w:p>
    <w:p w14:paraId="106DA42D">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地址：合肥市高新区望江西路600号</w:t>
      </w:r>
    </w:p>
    <w:p w14:paraId="66CC86AB">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电话：0551-65395530</w:t>
      </w:r>
    </w:p>
    <w:p w14:paraId="300C7732">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开户行：建行合肥政务文化新区支行</w:t>
      </w:r>
    </w:p>
    <w:p w14:paraId="7F13C1C2">
      <w:pPr>
        <w:spacing w:line="500" w:lineRule="exact"/>
        <w:ind w:firstLine="560" w:firstLineChars="200"/>
        <w:textAlignment w:val="baseline"/>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开户银行账号：34050146480800004860</w:t>
      </w:r>
    </w:p>
    <w:p w14:paraId="3183822A">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乙方收款账户及开票信息：</w:t>
      </w:r>
    </w:p>
    <w:p w14:paraId="24EC7E00">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公司名称：</w:t>
      </w:r>
    </w:p>
    <w:p w14:paraId="3909F9D2">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纳税人识别号：</w:t>
      </w:r>
    </w:p>
    <w:p w14:paraId="5C2A8E07">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地址：</w:t>
      </w:r>
    </w:p>
    <w:p w14:paraId="0C123A5B">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开户行：</w:t>
      </w:r>
    </w:p>
    <w:p w14:paraId="088FF952">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开户行账号：</w:t>
      </w:r>
    </w:p>
    <w:p w14:paraId="0C104738">
      <w:pPr>
        <w:spacing w:line="500" w:lineRule="exact"/>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七、合同终止</w:t>
      </w:r>
    </w:p>
    <w:p w14:paraId="40F0B125">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1、本合同到期终止，未到期之前，双方当事人不得随意提前解除合同。</w:t>
      </w:r>
    </w:p>
    <w:p w14:paraId="1DAB2879">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2、乙方有下列情形之一的，甲方有权解除合同且不承担违约责任：</w:t>
      </w:r>
    </w:p>
    <w:p w14:paraId="00E1DBC1">
      <w:pPr>
        <w:spacing w:line="500" w:lineRule="exact"/>
        <w:ind w:firstLine="560" w:firstLineChars="200"/>
        <w:textAlignment w:val="baseline"/>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（1）因设施、设备系统故障导致的用户权益纠纷不当处置、后台数据造假等不诚信行为的；</w:t>
      </w:r>
    </w:p>
    <w:p w14:paraId="588E04E2">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（2）严重违反甲方管理制度；</w:t>
      </w:r>
    </w:p>
    <w:p w14:paraId="17CA2B0A">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（3）未经甲方允许擅自对场地进行装修、装潢或擅自在场地附加建筑；</w:t>
      </w:r>
    </w:p>
    <w:p w14:paraId="0EBCFD29">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ascii="仿宋_GB2312" w:hAnsi="仿宋_GB2312" w:eastAsia="仿宋_GB2312" w:cs="仿宋_GB2312"/>
          <w:color w:val="000000"/>
          <w:sz w:val="28"/>
          <w:szCs w:val="28"/>
          <w:highlight w:val="none"/>
        </w:rPr>
        <w:t>4</w:t>
      </w:r>
      <w:r>
        <w:rPr>
          <w:rFonts w:hint="eastAsia" w:ascii="仿宋_GB2312" w:hAnsi="仿宋_GB2312" w:eastAsia="仿宋_GB2312" w:cs="仿宋_GB2312"/>
          <w:color w:val="000000"/>
          <w:sz w:val="28"/>
          <w:szCs w:val="28"/>
          <w:highlight w:val="none"/>
        </w:rPr>
        <w:t>）未经甲方书面同意，乙方擅自将合作经营场地全部或部分予以转让或变相转让、转借他人或调换使用，或交与第三方承包经营、合作经营或联合经营的；</w:t>
      </w:r>
    </w:p>
    <w:p w14:paraId="688121A7">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ascii="仿宋_GB2312" w:hAnsi="仿宋_GB2312" w:eastAsia="仿宋_GB2312" w:cs="仿宋_GB2312"/>
          <w:color w:val="000000"/>
          <w:sz w:val="28"/>
          <w:szCs w:val="28"/>
          <w:highlight w:val="none"/>
        </w:rPr>
        <w:t>5</w:t>
      </w:r>
      <w:r>
        <w:rPr>
          <w:rFonts w:hint="eastAsia" w:ascii="仿宋_GB2312" w:hAnsi="仿宋_GB2312" w:eastAsia="仿宋_GB2312" w:cs="仿宋_GB2312"/>
          <w:color w:val="000000"/>
          <w:sz w:val="28"/>
          <w:szCs w:val="28"/>
          <w:highlight w:val="none"/>
        </w:rPr>
        <w:t>）因违法违章行为被相关政府职能部门处以停业整顿、吊销许可证或营业执照等行政处罚的；</w:t>
      </w:r>
    </w:p>
    <w:p w14:paraId="48EB100A">
      <w:pPr>
        <w:spacing w:line="500" w:lineRule="exact"/>
        <w:ind w:firstLine="560" w:firstLineChars="200"/>
        <w:textAlignment w:val="baseline"/>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ascii="仿宋_GB2312" w:hAnsi="仿宋_GB2312" w:eastAsia="仿宋_GB2312" w:cs="仿宋_GB2312"/>
          <w:color w:val="000000"/>
          <w:sz w:val="28"/>
          <w:szCs w:val="28"/>
          <w:highlight w:val="none"/>
        </w:rPr>
        <w:t>6</w:t>
      </w:r>
      <w:r>
        <w:rPr>
          <w:rFonts w:hint="eastAsia" w:ascii="仿宋_GB2312" w:hAnsi="仿宋_GB2312" w:eastAsia="仿宋_GB2312" w:cs="仿宋_GB2312"/>
          <w:color w:val="000000"/>
          <w:sz w:val="28"/>
          <w:szCs w:val="28"/>
          <w:highlight w:val="none"/>
        </w:rPr>
        <w:t>）因乙方行为，甲方陷入与第三方纠纷或者使甲方被第三方索赔，或者使甲方遭受行政处罚，或者其他违约行为使甲方遭受重大损失的；</w:t>
      </w:r>
    </w:p>
    <w:p w14:paraId="046A82D1">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rPr>
        <w:t>7）设备出现故障乙方不能在24小时内解决问题的，连续30天内相同情况发生三次及以上(包括三次)的；</w:t>
      </w:r>
    </w:p>
    <w:p w14:paraId="4D6B0A87">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r>
        <w:rPr>
          <w:rFonts w:ascii="仿宋_GB2312" w:hAnsi="仿宋_GB2312" w:eastAsia="仿宋_GB2312" w:cs="仿宋_GB2312"/>
          <w:color w:val="000000"/>
          <w:sz w:val="28"/>
          <w:szCs w:val="28"/>
          <w:highlight w:val="none"/>
        </w:rPr>
        <w:t>8</w:t>
      </w:r>
      <w:r>
        <w:rPr>
          <w:rFonts w:hint="eastAsia" w:ascii="仿宋_GB2312" w:hAnsi="仿宋_GB2312" w:eastAsia="仿宋_GB2312" w:cs="仿宋_GB2312"/>
          <w:color w:val="000000"/>
          <w:sz w:val="28"/>
          <w:szCs w:val="28"/>
          <w:highlight w:val="none"/>
        </w:rPr>
        <w:t>）乙方不遵守合同前述其他条款的。</w:t>
      </w:r>
    </w:p>
    <w:p w14:paraId="303AA520">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因乙方原因导致本合同解除的，乙方应当赔偿甲方因此遭受的损失。</w:t>
      </w:r>
    </w:p>
    <w:p w14:paraId="29E2290E">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3、甲方有下列情形之一的，乙方有权解除合同且不承担违约责任：</w:t>
      </w:r>
    </w:p>
    <w:p w14:paraId="21BEC9B5">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（1）甲方未按约定时间交付合作经营场地达</w:t>
      </w:r>
      <w:r>
        <w:rPr>
          <w:rFonts w:hint="eastAsia" w:ascii="仿宋_GB2312" w:hAnsi="仿宋_GB2312" w:eastAsia="仿宋_GB2312" w:cs="仿宋_GB2312"/>
          <w:color w:val="000000"/>
          <w:sz w:val="28"/>
          <w:szCs w:val="28"/>
          <w:highlight w:val="none"/>
          <w:u w:val="single" w:color="000000"/>
        </w:rPr>
        <w:t xml:space="preserve"> 30 </w:t>
      </w:r>
      <w:r>
        <w:rPr>
          <w:rFonts w:hint="eastAsia" w:ascii="仿宋_GB2312" w:hAnsi="仿宋_GB2312" w:eastAsia="仿宋_GB2312" w:cs="仿宋_GB2312"/>
          <w:color w:val="000000"/>
          <w:sz w:val="28"/>
          <w:szCs w:val="28"/>
          <w:highlight w:val="none"/>
        </w:rPr>
        <w:t>日的；</w:t>
      </w:r>
    </w:p>
    <w:p w14:paraId="304F2EF3">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因甲方原因导致本合同解除的，甲方应当赔偿乙方遭受的损失。</w:t>
      </w:r>
    </w:p>
    <w:p w14:paraId="1F287D7F">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4、有下列情形之一的，</w:t>
      </w:r>
      <w:r>
        <w:rPr>
          <w:rFonts w:hint="eastAsia" w:ascii="仿宋_GB2312" w:hAnsi="仿宋_GB2312" w:eastAsia="仿宋_GB2312" w:cs="仿宋_GB2312"/>
          <w:color w:val="000000"/>
          <w:sz w:val="28"/>
          <w:szCs w:val="28"/>
          <w:highlight w:val="none"/>
        </w:rPr>
        <w:t>甲乙双方均有权单方面解除本合同，且互不承担违约责任：</w:t>
      </w:r>
    </w:p>
    <w:p w14:paraId="751DC143">
      <w:pPr>
        <w:spacing w:line="500" w:lineRule="exact"/>
        <w:ind w:firstLine="280" w:firstLineChars="1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（1）合作经营场地因政府部门要求拆迁（如生态红线内违规建设等原因）、城市建设需要被依法动迁或因甲方改造提升需要进行拆迁的；</w:t>
      </w:r>
    </w:p>
    <w:p w14:paraId="5994DE54">
      <w:pPr>
        <w:spacing w:line="500" w:lineRule="exact"/>
        <w:ind w:firstLine="280" w:firstLineChars="1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（2）合作经营场地因社会公共利益的需要被依法征用的；</w:t>
      </w:r>
    </w:p>
    <w:p w14:paraId="30D63935">
      <w:pPr>
        <w:spacing w:line="500" w:lineRule="exact"/>
        <w:ind w:firstLine="280" w:firstLineChars="1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（3）因不可抗力致使合作经营场地及附属设施毁损、灭失或造成其他损失的；</w:t>
      </w:r>
    </w:p>
    <w:p w14:paraId="4D61527D">
      <w:pPr>
        <w:spacing w:line="500" w:lineRule="exact"/>
        <w:ind w:firstLine="280" w:firstLineChars="1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（4）因不可抗力导致本合同无法履行的。</w:t>
      </w:r>
    </w:p>
    <w:p w14:paraId="37617310">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5、本合同提前解除或者到期终止的，乙方应当在3</w:t>
      </w:r>
      <w:r>
        <w:rPr>
          <w:rFonts w:hint="eastAsia" w:ascii="仿宋_GB2312" w:hAnsi="仿宋_GB2312" w:eastAsia="仿宋_GB2312" w:cs="仿宋_GB2312"/>
          <w:color w:val="000000"/>
          <w:sz w:val="28"/>
          <w:szCs w:val="28"/>
          <w:highlight w:val="none"/>
          <w:lang w:val="en-US" w:eastAsia="zh-CN"/>
        </w:rPr>
        <w:t>个工作</w:t>
      </w:r>
      <w:r>
        <w:rPr>
          <w:rFonts w:hint="eastAsia" w:ascii="仿宋_GB2312" w:hAnsi="仿宋_GB2312" w:eastAsia="仿宋_GB2312" w:cs="仿宋_GB2312"/>
          <w:color w:val="000000"/>
          <w:sz w:val="28"/>
          <w:szCs w:val="28"/>
          <w:highlight w:val="none"/>
        </w:rPr>
        <w:t>日内将合作经营场地交还给甲方，</w:t>
      </w:r>
      <w:r>
        <w:rPr>
          <w:rFonts w:hint="eastAsia" w:ascii="仿宋_GB2312" w:hAnsi="仿宋_GB2312" w:eastAsia="仿宋_GB2312" w:cs="仿宋_GB2312"/>
          <w:sz w:val="28"/>
          <w:szCs w:val="28"/>
          <w:highlight w:val="none"/>
        </w:rPr>
        <w:t>乙方物品以及乙方投入的未形成附合物的设施设备、装修物，乙方应当在上述期限内全部从合作经营场地内搬离并将场地恢复原状，乙方逾期未搬离的，甲方视为乙方遗弃上述物品和装饰装修物，甲方有权自行处置，所获得的款项归甲方所有。对于形成附合的装饰装修物及其他物品，乙方无偿移交给甲方。</w:t>
      </w:r>
    </w:p>
    <w:p w14:paraId="14CDCD26">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6、合作期间，合作经营提前解除或者到期终止的，甲乙双方应在解除前完成全部费用的清算。</w:t>
      </w:r>
    </w:p>
    <w:p w14:paraId="7462F6FA">
      <w:pPr>
        <w:spacing w:line="500" w:lineRule="exact"/>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八、违约责任</w:t>
      </w:r>
    </w:p>
    <w:p w14:paraId="4E556160">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除本合同另有约定外，甲、乙双方任何一方违反本合同约定的，违约方应当赔偿因此给守约方造成的损失，该等损失包括守约方遭受的直接损失，以及守约方为实现权利支出的合理费用（包括但不限于律师费、诉讼费、保全费、担保费、审计费、评估费、鉴定费、公告费、公证费等）。</w:t>
      </w:r>
    </w:p>
    <w:p w14:paraId="291AA148">
      <w:pPr>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2、</w:t>
      </w:r>
      <w:r>
        <w:rPr>
          <w:rFonts w:hint="eastAsia" w:ascii="仿宋_GB2312" w:hAnsi="仿宋_GB2312" w:eastAsia="仿宋_GB2312" w:cs="仿宋_GB2312"/>
          <w:sz w:val="28"/>
          <w:szCs w:val="28"/>
          <w:highlight w:val="none"/>
        </w:rPr>
        <w:t>乙方更改后台营收数据或乙方绕过甲方采用其他方式进行收款的，甲方有权直接解除合同并追究其他违约责任，履约保证金不予退还。</w:t>
      </w:r>
    </w:p>
    <w:p w14:paraId="079B0C67">
      <w:pPr>
        <w:spacing w:line="500" w:lineRule="exact"/>
        <w:ind w:firstLine="560" w:firstLineChars="200"/>
        <w:textAlignment w:val="baseline"/>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3、乙方装修未按照装修效果图（定稿版）严格执行，甲方有权要求其在期限内进行整改，如若未及时整改，甲方有权直接解除合同。</w:t>
      </w:r>
    </w:p>
    <w:p w14:paraId="088EAEE3">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4、因乙方原因导致本合同提前解除的，扣除履约保证金，履约保证金不足以弥补甲方损失的，乙方应当继续赔偿甲方损失。</w:t>
      </w:r>
    </w:p>
    <w:p w14:paraId="7AAA85F2">
      <w:pPr>
        <w:spacing w:line="500" w:lineRule="exact"/>
        <w:ind w:firstLine="560" w:firstLineChars="200"/>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color w:val="000000"/>
          <w:sz w:val="28"/>
          <w:szCs w:val="28"/>
          <w:highlight w:val="none"/>
        </w:rPr>
        <w:t>5、本合同到期终止或提前解除后，乙方逾期未将合作经营场地清空并将场地交还给甲方的，每逾期一日，乙方应当按</w:t>
      </w:r>
      <w:r>
        <w:rPr>
          <w:rFonts w:hint="eastAsia" w:ascii="仿宋_GB2312" w:hAnsi="仿宋_GB2312" w:eastAsia="仿宋_GB2312" w:cs="仿宋_GB2312"/>
          <w:color w:val="000000"/>
          <w:sz w:val="28"/>
          <w:szCs w:val="28"/>
          <w:highlight w:val="none"/>
          <w:u w:val="single"/>
        </w:rPr>
        <w:t xml:space="preserve"> 500</w:t>
      </w:r>
      <w:r>
        <w:rPr>
          <w:rFonts w:hint="eastAsia" w:ascii="仿宋_GB2312" w:hAnsi="仿宋_GB2312" w:eastAsia="仿宋_GB2312" w:cs="仿宋_GB2312"/>
          <w:color w:val="000000"/>
          <w:sz w:val="28"/>
          <w:szCs w:val="28"/>
          <w:highlight w:val="none"/>
        </w:rPr>
        <w:t>元/日向甲方支付违约金。</w:t>
      </w:r>
    </w:p>
    <w:p w14:paraId="65B4B394">
      <w:pPr>
        <w:spacing w:line="500" w:lineRule="exact"/>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九、合同生效</w:t>
      </w:r>
    </w:p>
    <w:p w14:paraId="1BDA24D6">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1、本合同自甲、乙双方签字盖章之日生效。</w:t>
      </w:r>
    </w:p>
    <w:p w14:paraId="35EB49CF">
      <w:p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2、本合同一式</w:t>
      </w:r>
      <w:r>
        <w:rPr>
          <w:rFonts w:hint="eastAsia" w:ascii="仿宋_GB2312" w:hAnsi="仿宋_GB2312" w:eastAsia="仿宋_GB2312" w:cs="仿宋_GB2312"/>
          <w:color w:val="000000"/>
          <w:sz w:val="28"/>
          <w:szCs w:val="28"/>
          <w:highlight w:val="none"/>
          <w:u w:val="single"/>
        </w:rPr>
        <w:t>叁</w:t>
      </w:r>
      <w:r>
        <w:rPr>
          <w:rFonts w:hint="eastAsia" w:ascii="仿宋_GB2312" w:hAnsi="仿宋_GB2312" w:eastAsia="仿宋_GB2312" w:cs="仿宋_GB2312"/>
          <w:color w:val="000000"/>
          <w:sz w:val="28"/>
          <w:szCs w:val="28"/>
          <w:highlight w:val="none"/>
        </w:rPr>
        <w:t>份，甲方</w:t>
      </w:r>
      <w:r>
        <w:rPr>
          <w:rFonts w:hint="eastAsia" w:ascii="仿宋_GB2312" w:hAnsi="仿宋_GB2312" w:eastAsia="仿宋_GB2312" w:cs="仿宋_GB2312"/>
          <w:color w:val="000000"/>
          <w:sz w:val="28"/>
          <w:szCs w:val="28"/>
          <w:highlight w:val="none"/>
          <w:u w:val="single"/>
        </w:rPr>
        <w:t>贰</w:t>
      </w:r>
      <w:r>
        <w:rPr>
          <w:rFonts w:hint="eastAsia" w:ascii="仿宋_GB2312" w:hAnsi="仿宋_GB2312" w:eastAsia="仿宋_GB2312" w:cs="仿宋_GB2312"/>
          <w:color w:val="000000"/>
          <w:sz w:val="28"/>
          <w:szCs w:val="28"/>
          <w:highlight w:val="none"/>
        </w:rPr>
        <w:t>份，乙方</w:t>
      </w:r>
      <w:r>
        <w:rPr>
          <w:rFonts w:hint="eastAsia" w:ascii="仿宋_GB2312" w:hAnsi="仿宋_GB2312" w:eastAsia="仿宋_GB2312" w:cs="仿宋_GB2312"/>
          <w:color w:val="000000"/>
          <w:sz w:val="28"/>
          <w:szCs w:val="28"/>
          <w:highlight w:val="none"/>
          <w:u w:val="single"/>
        </w:rPr>
        <w:t>壹</w:t>
      </w:r>
      <w:r>
        <w:rPr>
          <w:rFonts w:hint="eastAsia" w:ascii="仿宋_GB2312" w:hAnsi="仿宋_GB2312" w:eastAsia="仿宋_GB2312" w:cs="仿宋_GB2312"/>
          <w:color w:val="000000"/>
          <w:sz w:val="28"/>
          <w:szCs w:val="28"/>
          <w:highlight w:val="none"/>
        </w:rPr>
        <w:t>份。</w:t>
      </w:r>
    </w:p>
    <w:p w14:paraId="0B253E60">
      <w:pPr>
        <w:spacing w:line="500" w:lineRule="exact"/>
        <w:ind w:firstLine="560" w:firstLineChars="200"/>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color w:val="000000"/>
          <w:sz w:val="28"/>
          <w:szCs w:val="28"/>
          <w:highlight w:val="none"/>
        </w:rPr>
        <w:t>3、本合同的附件与本合同具有同等法律效力。</w:t>
      </w:r>
    </w:p>
    <w:p w14:paraId="55B71DB4">
      <w:pPr>
        <w:spacing w:line="500" w:lineRule="exact"/>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十、争议解决</w:t>
      </w:r>
    </w:p>
    <w:p w14:paraId="5DC222D8">
      <w:pPr>
        <w:spacing w:line="500" w:lineRule="exact"/>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本合同未尽或争议事项，甲、乙双方可另行达成相关更具体、明确的书面补充约定，但各补充约定（如有）不得超越本合同约定事项及权责范围。各补充约定（如有）与本合同同等法律效力，涉本合同未尽事项，以补充约定为准；各补充约定（如有）间存在冲突或矛盾的，以后达成的补充约定为准；涉与本合同冲突或矛盾之处的，以本合同约定为准。</w:t>
      </w:r>
    </w:p>
    <w:p w14:paraId="6F66C1C2">
      <w:pPr>
        <w:numPr>
          <w:ilvl w:val="0"/>
          <w:numId w:val="6"/>
        </w:numPr>
        <w:spacing w:line="500"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乙双方在履行本合同</w:t>
      </w:r>
      <w:r>
        <w:rPr>
          <w:rFonts w:hint="eastAsia" w:ascii="仿宋_GB2312" w:hAnsi="仿宋_GB2312" w:eastAsia="仿宋_GB2312" w:cs="仿宋_GB2312"/>
          <w:color w:val="000000"/>
          <w:sz w:val="28"/>
          <w:szCs w:val="28"/>
          <w:highlight w:val="none"/>
          <w:lang w:val="en-US" w:eastAsia="zh-CN"/>
        </w:rPr>
        <w:t>及各补充约定（如有）</w:t>
      </w:r>
      <w:r>
        <w:rPr>
          <w:rFonts w:hint="eastAsia" w:ascii="仿宋_GB2312" w:hAnsi="仿宋_GB2312" w:eastAsia="仿宋_GB2312" w:cs="仿宋_GB2312"/>
          <w:color w:val="000000"/>
          <w:sz w:val="28"/>
          <w:szCs w:val="28"/>
          <w:highlight w:val="none"/>
        </w:rPr>
        <w:t>过程中发生争议，应友好协商解决。协商不能解决的，可依法向甲方所在地有管辖权的人民法院提起诉讼。</w:t>
      </w:r>
    </w:p>
    <w:p w14:paraId="7269CF29">
      <w:pPr>
        <w:numPr>
          <w:ilvl w:val="0"/>
          <w:numId w:val="0"/>
        </w:numPr>
        <w:spacing w:line="500" w:lineRule="exact"/>
        <w:rPr>
          <w:rFonts w:hint="eastAsia" w:ascii="仿宋_GB2312" w:hAnsi="仿宋_GB2312" w:eastAsia="仿宋_GB2312" w:cs="仿宋_GB2312"/>
          <w:color w:val="000000"/>
          <w:sz w:val="28"/>
          <w:szCs w:val="28"/>
          <w:highlight w:val="none"/>
        </w:rPr>
      </w:pPr>
    </w:p>
    <w:p w14:paraId="1B77F615">
      <w:pP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bCs/>
          <w:color w:val="000000"/>
          <w:sz w:val="28"/>
          <w:szCs w:val="28"/>
          <w:highlight w:val="none"/>
        </w:rPr>
        <w:t>甲方：</w:t>
      </w:r>
      <w:r>
        <w:rPr>
          <w:rFonts w:hint="eastAsia" w:ascii="仿宋_GB2312" w:hAnsi="仿宋_GB2312" w:eastAsia="仿宋_GB2312" w:cs="仿宋_GB2312"/>
          <w:color w:val="000000"/>
          <w:sz w:val="28"/>
          <w:szCs w:val="28"/>
          <w:highlight w:val="none"/>
        </w:rPr>
        <w:t xml:space="preserve"> 合肥文旅博览集团野生动物园管理有限公司</w:t>
      </w:r>
    </w:p>
    <w:p w14:paraId="6C1768E5">
      <w:pPr>
        <w:spacing w:line="46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法定代表人或授权代表（签字）：</w:t>
      </w:r>
    </w:p>
    <w:p w14:paraId="12A550B4">
      <w:pPr>
        <w:ind w:firstLine="6160" w:firstLineChars="2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年   月   日</w:t>
      </w:r>
    </w:p>
    <w:p w14:paraId="1AEBE9F4">
      <w:pP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bCs/>
          <w:color w:val="000000"/>
          <w:sz w:val="28"/>
          <w:szCs w:val="28"/>
          <w:highlight w:val="none"/>
        </w:rPr>
        <w:t>乙方：</w:t>
      </w:r>
    </w:p>
    <w:p w14:paraId="059ABF28">
      <w:pPr>
        <w:spacing w:line="46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rPr>
        <w:t>法定代表人或授权代表（签字）：</w:t>
      </w:r>
    </w:p>
    <w:p w14:paraId="5F850FA2">
      <w:pPr>
        <w:ind w:firstLine="6160" w:firstLineChars="2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年   月   日</w:t>
      </w:r>
    </w:p>
    <w:p w14:paraId="0434378D">
      <w:pPr>
        <w:rPr>
          <w:highlight w:val="none"/>
        </w:rPr>
      </w:pPr>
      <w:r>
        <w:rPr>
          <w:rFonts w:hint="eastAsia" w:ascii="宋体" w:hAnsi="宋体" w:cs="宋体"/>
          <w:b/>
          <w:color w:val="000000"/>
          <w:sz w:val="24"/>
          <w:szCs w:val="22"/>
          <w:highlight w:val="none"/>
        </w:rPr>
        <w:t xml:space="preserve"> </w:t>
      </w:r>
    </w:p>
    <w:p w14:paraId="7C601F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9F3C0">
    <w:pPr>
      <w:spacing w:line="176" w:lineRule="auto"/>
      <w:ind w:left="4944"/>
      <w:rPr>
        <w:rFonts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BF0402">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7DBF0402">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8122F5"/>
    <w:multiLevelType w:val="singleLevel"/>
    <w:tmpl w:val="CE8122F5"/>
    <w:lvl w:ilvl="0" w:tentative="0">
      <w:start w:val="1"/>
      <w:numFmt w:val="ideographTraditional"/>
      <w:suff w:val="nothing"/>
      <w:lvlText w:val="%1、"/>
      <w:lvlJc w:val="left"/>
      <w:rPr>
        <w:rFonts w:hint="eastAsia"/>
      </w:rPr>
    </w:lvl>
  </w:abstractNum>
  <w:abstractNum w:abstractNumId="1">
    <w:nsid w:val="0DD39EBA"/>
    <w:multiLevelType w:val="singleLevel"/>
    <w:tmpl w:val="0DD39EBA"/>
    <w:lvl w:ilvl="0" w:tentative="0">
      <w:start w:val="1"/>
      <w:numFmt w:val="decimal"/>
      <w:suff w:val="nothing"/>
      <w:lvlText w:val="（%1）"/>
      <w:lvlJc w:val="left"/>
    </w:lvl>
  </w:abstractNum>
  <w:abstractNum w:abstractNumId="2">
    <w:nsid w:val="243D19C5"/>
    <w:multiLevelType w:val="singleLevel"/>
    <w:tmpl w:val="243D19C5"/>
    <w:lvl w:ilvl="0" w:tentative="0">
      <w:start w:val="2"/>
      <w:numFmt w:val="chineseCounting"/>
      <w:suff w:val="nothing"/>
      <w:lvlText w:val="%1、"/>
      <w:lvlJc w:val="left"/>
      <w:rPr>
        <w:rFonts w:hint="eastAsia"/>
      </w:rPr>
    </w:lvl>
  </w:abstractNum>
  <w:abstractNum w:abstractNumId="3">
    <w:nsid w:val="29E44523"/>
    <w:multiLevelType w:val="multilevel"/>
    <w:tmpl w:val="29E44523"/>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2F9C572"/>
    <w:multiLevelType w:val="singleLevel"/>
    <w:tmpl w:val="32F9C572"/>
    <w:lvl w:ilvl="0" w:tentative="0">
      <w:start w:val="1"/>
      <w:numFmt w:val="decimal"/>
      <w:lvlText w:val="%1."/>
      <w:lvlJc w:val="left"/>
      <w:pPr>
        <w:tabs>
          <w:tab w:val="left" w:pos="312"/>
        </w:tabs>
      </w:pPr>
      <w:rPr>
        <w:rFonts w:hint="default"/>
      </w:rPr>
    </w:lvl>
  </w:abstractNum>
  <w:abstractNum w:abstractNumId="5">
    <w:nsid w:val="3EE6A6E1"/>
    <w:multiLevelType w:val="singleLevel"/>
    <w:tmpl w:val="3EE6A6E1"/>
    <w:lvl w:ilvl="0" w:tentative="0">
      <w:start w:val="1"/>
      <w:numFmt w:val="ideographTraditional"/>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53CB3"/>
    <w:rsid w:val="13B3480E"/>
    <w:rsid w:val="19322678"/>
    <w:rsid w:val="25710DD0"/>
    <w:rsid w:val="27427F2B"/>
    <w:rsid w:val="29194CBB"/>
    <w:rsid w:val="2A2D63B5"/>
    <w:rsid w:val="2B8F395A"/>
    <w:rsid w:val="2BF8505C"/>
    <w:rsid w:val="2C8479FA"/>
    <w:rsid w:val="37404EB0"/>
    <w:rsid w:val="39400042"/>
    <w:rsid w:val="3A5A5133"/>
    <w:rsid w:val="3BAC5E63"/>
    <w:rsid w:val="3D0350B8"/>
    <w:rsid w:val="42F97BDF"/>
    <w:rsid w:val="4CD9638C"/>
    <w:rsid w:val="4F3F2E1E"/>
    <w:rsid w:val="4F5D5052"/>
    <w:rsid w:val="5124051D"/>
    <w:rsid w:val="51C04E17"/>
    <w:rsid w:val="564B20A8"/>
    <w:rsid w:val="56530F5D"/>
    <w:rsid w:val="5797131D"/>
    <w:rsid w:val="57AA1051"/>
    <w:rsid w:val="5B6B75C2"/>
    <w:rsid w:val="5EDB41E5"/>
    <w:rsid w:val="64833355"/>
    <w:rsid w:val="66154481"/>
    <w:rsid w:val="674548F2"/>
    <w:rsid w:val="683C6D15"/>
    <w:rsid w:val="6CBD4F2A"/>
    <w:rsid w:val="6CE16E6B"/>
    <w:rsid w:val="704020FA"/>
    <w:rsid w:val="72127AC6"/>
    <w:rsid w:val="72343EE1"/>
    <w:rsid w:val="72C25048"/>
    <w:rsid w:val="74033B6B"/>
    <w:rsid w:val="794964C4"/>
    <w:rsid w:val="799A287B"/>
    <w:rsid w:val="7B65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keepNext/>
      <w:keepLines/>
      <w:spacing w:before="260" w:after="260" w:line="415" w:lineRule="auto"/>
      <w:jc w:val="center"/>
      <w:outlineLvl w:val="2"/>
    </w:pPr>
    <w:rPr>
      <w:rFonts w:ascii="宋体" w:cs="宋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Indent"/>
    <w:basedOn w:val="1"/>
    <w:qFormat/>
    <w:uiPriority w:val="0"/>
    <w:pPr>
      <w:ind w:firstLine="645"/>
    </w:pPr>
    <w:rPr>
      <w:rFonts w:ascii="楷体_GB2312" w:hAnsi="Times New Roman" w:eastAsia="楷体_GB2312"/>
      <w:sz w:val="32"/>
      <w:szCs w:val="20"/>
    </w:rPr>
  </w:style>
  <w:style w:type="paragraph" w:styleId="5">
    <w:name w:val="Plain Text"/>
    <w:basedOn w:val="1"/>
    <w:qFormat/>
    <w:uiPriority w:val="99"/>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2"/>
    <w:basedOn w:val="4"/>
    <w:unhideWhenUsed/>
    <w:qFormat/>
    <w:uiPriority w:val="99"/>
    <w:pPr>
      <w:spacing w:after="120"/>
      <w:ind w:left="420" w:leftChars="200" w:firstLine="420" w:firstLineChars="200"/>
    </w:pPr>
    <w:rPr>
      <w:rFonts w:ascii="Times New Roman" w:eastAsia="宋体"/>
      <w:sz w:val="21"/>
      <w:szCs w:val="22"/>
    </w:rPr>
  </w:style>
  <w:style w:type="character" w:styleId="10">
    <w:name w:val="Hyperlink"/>
    <w:qFormat/>
    <w:uiPriority w:val="0"/>
    <w:rPr>
      <w:color w:val="0563C1"/>
      <w:u w:val="single"/>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paragraph" w:customStyle="1" w:styleId="12">
    <w:name w:val="Table Paragraph"/>
    <w:basedOn w:val="1"/>
    <w:qFormat/>
    <w:uiPriority w:val="1"/>
    <w:pPr>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7527</Words>
  <Characters>7817</Characters>
  <Lines>0</Lines>
  <Paragraphs>0</Paragraphs>
  <TotalTime>32</TotalTime>
  <ScaleCrop>false</ScaleCrop>
  <LinksUpToDate>false</LinksUpToDate>
  <CharactersWithSpaces>8053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2026-02-09T02:14:00Z</dcterms:created>
  <dc:creator>admin</dc:creator>
  <cp:lastModifiedBy>王瑾</cp:lastModifiedBy>
  <dcterms:modified xsi:type="dcterms:W3CDTF">2026-03-20T00:53:58Z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eyJoZGlkIjoiMTVlYmFiZjI3MGRlZmQzYjc3OWM0NzRiNjllYzFkNGMiLCJ1c2VySWQiOiIxMTczMTkzOTM0In0=</vt:lpwstr>
  </property>
  <property fmtid="{D5CDD505-2E9C-101B-9397-08002B2CF9AE}" pid="4" name="ICV">
    <vt:lpwstr>655C40C1ACC44279B1F560B5CA4A3EBE_12</vt:lpwstr>
  </property>
</Properties>
</file>