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36A0A">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sz w:val="52"/>
          <w:szCs w:val="52"/>
        </w:rPr>
      </w:pPr>
    </w:p>
    <w:p w14:paraId="2E089291">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sz w:val="52"/>
          <w:szCs w:val="52"/>
        </w:rPr>
      </w:pPr>
      <w:bookmarkStart w:id="0" w:name="_Hlk9544796"/>
    </w:p>
    <w:p w14:paraId="17526436">
      <w:pPr>
        <w:tabs>
          <w:tab w:val="left" w:pos="420"/>
        </w:tabs>
        <w:spacing w:line="360" w:lineRule="auto"/>
        <w:jc w:val="center"/>
        <w:rPr>
          <w:rFonts w:hint="eastAsia"/>
          <w:b/>
          <w:bCs/>
          <w:color w:val="000000"/>
          <w:sz w:val="52"/>
          <w:lang w:eastAsia="zh-CN"/>
        </w:rPr>
      </w:pPr>
      <w:r>
        <w:rPr>
          <w:rFonts w:hint="eastAsia"/>
          <w:b/>
          <w:bCs/>
          <w:color w:val="000000"/>
          <w:sz w:val="52"/>
          <w:lang w:eastAsia="zh-CN"/>
        </w:rPr>
        <w:t>询比</w:t>
      </w:r>
      <w:r>
        <w:rPr>
          <w:rFonts w:hint="eastAsia"/>
          <w:b/>
          <w:bCs/>
          <w:color w:val="000000"/>
          <w:sz w:val="52"/>
          <w:lang w:val="en-US" w:eastAsia="zh-CN"/>
        </w:rPr>
        <w:t>采购</w:t>
      </w:r>
      <w:r>
        <w:rPr>
          <w:b/>
          <w:bCs/>
          <w:color w:val="000000"/>
          <w:sz w:val="52"/>
        </w:rPr>
        <w:t>文件</w:t>
      </w:r>
    </w:p>
    <w:bookmarkEnd w:id="0"/>
    <w:p w14:paraId="6D36EF11">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07ECF4DC">
      <w:pPr>
        <w:rPr>
          <w:rFonts w:ascii="Times New Roman" w:hAnsi="Times New Roman" w:cs="Times New Roman" w:eastAsiaTheme="minorEastAsia"/>
          <w:bCs/>
          <w:sz w:val="44"/>
          <w:szCs w:val="44"/>
        </w:rPr>
      </w:pPr>
    </w:p>
    <w:p w14:paraId="2C3C7440">
      <w:pPr>
        <w:rPr>
          <w:rFonts w:ascii="Times New Roman" w:hAnsi="Times New Roman" w:cs="Times New Roman"/>
        </w:rPr>
      </w:pPr>
    </w:p>
    <w:p w14:paraId="46E0E8CE">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ascii="Times New Roman" w:hAnsi="Times New Roman" w:cs="Times New Roman"/>
          <w:color w:val="000000"/>
        </w:rP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565910" cy="1511935"/>
                    </a:xfrm>
                    <a:prstGeom prst="rect">
                      <a:avLst/>
                    </a:prstGeom>
                    <a:noFill/>
                    <a:ln>
                      <a:noFill/>
                    </a:ln>
                  </pic:spPr>
                </pic:pic>
              </a:graphicData>
            </a:graphic>
          </wp:inline>
        </w:drawing>
      </w:r>
    </w:p>
    <w:p w14:paraId="3C84A1C3">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3FFC7716">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604151C9">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056D3C7F">
      <w:pPr>
        <w:tabs>
          <w:tab w:val="left" w:pos="2410"/>
        </w:tabs>
        <w:autoSpaceDE w:val="0"/>
        <w:autoSpaceDN w:val="0"/>
        <w:adjustRightInd w:val="0"/>
        <w:snapToGrid w:val="0"/>
        <w:spacing w:line="360" w:lineRule="auto"/>
        <w:rPr>
          <w:rFonts w:ascii="Times New Roman" w:hAnsi="Times New Roman" w:cs="Times New Roman" w:eastAsiaTheme="minorEastAsia"/>
          <w:b/>
          <w:bCs w:val="0"/>
          <w:spacing w:val="20"/>
          <w:kern w:val="0"/>
          <w:sz w:val="32"/>
          <w:szCs w:val="32"/>
          <w:u w:val="single"/>
        </w:rPr>
      </w:pPr>
      <w:r>
        <w:rPr>
          <w:rFonts w:ascii="Times New Roman" w:hAnsi="Times New Roman" w:cs="Times New Roman" w:eastAsiaTheme="minorEastAsia"/>
          <w:b/>
          <w:spacing w:val="20"/>
          <w:kern w:val="0"/>
          <w:sz w:val="32"/>
          <w:szCs w:val="32"/>
        </w:rPr>
        <w:t>项目名称：</w:t>
      </w:r>
      <w:r>
        <w:rPr>
          <w:rFonts w:hint="eastAsia" w:ascii="Times New Roman" w:hAnsi="Times New Roman" w:cs="Times New Roman" w:eastAsiaTheme="minorEastAsia"/>
          <w:b/>
          <w:bCs w:val="0"/>
          <w:spacing w:val="20"/>
          <w:kern w:val="0"/>
          <w:sz w:val="32"/>
          <w:szCs w:val="32"/>
          <w:u w:val="single"/>
        </w:rPr>
        <w:t>合肥经纬资产经营管理有限公司处置FS420蜘蛛式高空平台等一批报废资产项目</w:t>
      </w:r>
    </w:p>
    <w:p w14:paraId="1A28811B">
      <w:pPr>
        <w:tabs>
          <w:tab w:val="left" w:pos="2410"/>
        </w:tabs>
        <w:autoSpaceDE w:val="0"/>
        <w:autoSpaceDN w:val="0"/>
        <w:adjustRightInd w:val="0"/>
        <w:snapToGrid w:val="0"/>
        <w:spacing w:line="360" w:lineRule="auto"/>
        <w:rPr>
          <w:rFonts w:hint="default" w:ascii="Times New Roman" w:hAnsi="Times New Roman" w:cs="Times New Roman" w:eastAsiaTheme="minorEastAsia"/>
          <w:b/>
          <w:spacing w:val="20"/>
          <w:kern w:val="0"/>
          <w:sz w:val="32"/>
          <w:szCs w:val="32"/>
          <w:lang w:val="en-US" w:eastAsia="zh-CN"/>
        </w:rPr>
      </w:pPr>
      <w:r>
        <w:rPr>
          <w:rFonts w:ascii="Times New Roman" w:hAnsi="Times New Roman" w:cs="Times New Roman" w:eastAsiaTheme="minorEastAsia"/>
          <w:b/>
          <w:spacing w:val="20"/>
          <w:kern w:val="0"/>
          <w:sz w:val="32"/>
          <w:szCs w:val="32"/>
        </w:rPr>
        <w:t>项目编号：</w:t>
      </w:r>
      <w:r>
        <w:rPr>
          <w:rFonts w:hint="eastAsia" w:ascii="Times New Roman" w:hAnsi="Times New Roman" w:cs="Times New Roman" w:eastAsiaTheme="minorEastAsia"/>
          <w:b/>
          <w:spacing w:val="20"/>
          <w:kern w:val="0"/>
          <w:sz w:val="32"/>
          <w:szCs w:val="32"/>
          <w:u w:val="single"/>
        </w:rPr>
        <w:t>2026JWZCZB</w:t>
      </w:r>
      <w:r>
        <w:rPr>
          <w:rFonts w:hint="eastAsia" w:ascii="Times New Roman" w:hAnsi="Times New Roman" w:cs="Times New Roman"/>
          <w:b/>
          <w:spacing w:val="20"/>
          <w:kern w:val="0"/>
          <w:sz w:val="32"/>
          <w:szCs w:val="32"/>
          <w:u w:val="single"/>
          <w:lang w:val="en-US" w:eastAsia="zh-CN"/>
        </w:rPr>
        <w:t>002</w:t>
      </w:r>
    </w:p>
    <w:p w14:paraId="6AF8A45F">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招 标 人：</w:t>
      </w:r>
      <w:r>
        <w:rPr>
          <w:rFonts w:hint="eastAsia" w:ascii="Times New Roman" w:hAnsi="Times New Roman" w:cs="Times New Roman" w:eastAsiaTheme="minorEastAsia"/>
          <w:b/>
          <w:spacing w:val="20"/>
          <w:kern w:val="0"/>
          <w:sz w:val="32"/>
          <w:szCs w:val="32"/>
          <w:u w:val="single"/>
        </w:rPr>
        <w:t>合肥经纬资产经营管理有限公司</w:t>
      </w:r>
    </w:p>
    <w:p w14:paraId="6AE1E7CC">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1F0431FB">
      <w:pPr>
        <w:pStyle w:val="20"/>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2026</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w:t>
      </w:r>
      <w:r>
        <w:rPr>
          <w:rFonts w:eastAsiaTheme="majorEastAsia"/>
          <w:b/>
          <w:sz w:val="36"/>
          <w:u w:val="single"/>
        </w:rPr>
        <w:t xml:space="preserve"> </w:t>
      </w:r>
      <w:r>
        <w:rPr>
          <w:rFonts w:eastAsiaTheme="majorEastAsia"/>
          <w:b/>
          <w:sz w:val="36"/>
        </w:rPr>
        <w:t>月</w:t>
      </w:r>
    </w:p>
    <w:p w14:paraId="79787BAE">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7D91E038">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415527F7">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14:paraId="723927EE">
      <w:pPr>
        <w:pStyle w:val="17"/>
        <w:tabs>
          <w:tab w:val="right" w:leader="dot" w:pos="8279"/>
        </w:tabs>
        <w:rPr>
          <w:rFonts w:ascii="Times New Roman" w:hAnsi="Times New Roman" w:cs="Times New Roman"/>
          <w:b/>
          <w:bCs/>
          <w:sz w:val="22"/>
          <w:szCs w:val="28"/>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b/>
          <w:bCs/>
          <w:sz w:val="22"/>
          <w:szCs w:val="28"/>
        </w:rPr>
        <w:fldChar w:fldCharType="begin"/>
      </w:r>
      <w:r>
        <w:rPr>
          <w:b/>
          <w:bCs/>
          <w:sz w:val="22"/>
          <w:szCs w:val="28"/>
        </w:rPr>
        <w:instrText xml:space="preserve"> HYPERLINK \l "_Toc31841" </w:instrText>
      </w:r>
      <w:r>
        <w:rPr>
          <w:b/>
          <w:bCs/>
          <w:sz w:val="22"/>
          <w:szCs w:val="28"/>
        </w:rPr>
        <w:fldChar w:fldCharType="separate"/>
      </w:r>
      <w:r>
        <w:rPr>
          <w:rFonts w:ascii="Times New Roman" w:hAnsi="Times New Roman" w:cs="Times New Roman"/>
          <w:b/>
          <w:bCs/>
          <w:sz w:val="22"/>
          <w:szCs w:val="28"/>
        </w:rPr>
        <w:t xml:space="preserve">第一章  </w:t>
      </w:r>
      <w:r>
        <w:rPr>
          <w:rFonts w:hint="eastAsia" w:ascii="Times New Roman" w:hAnsi="Times New Roman" w:cs="Times New Roman"/>
          <w:b/>
          <w:bCs/>
          <w:sz w:val="22"/>
          <w:szCs w:val="28"/>
          <w:lang w:eastAsia="zh-CN"/>
        </w:rPr>
        <w:t>询比</w:t>
      </w:r>
      <w:r>
        <w:rPr>
          <w:rFonts w:ascii="Times New Roman" w:hAnsi="Times New Roman" w:cs="Times New Roman"/>
          <w:b/>
          <w:bCs/>
          <w:sz w:val="22"/>
          <w:szCs w:val="28"/>
        </w:rPr>
        <w:t>公告</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_Toc31841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699012CA">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"_Toc22742" </w:instrText>
      </w:r>
      <w:r>
        <w:rPr>
          <w:b/>
          <w:bCs/>
          <w:sz w:val="22"/>
          <w:szCs w:val="28"/>
        </w:rPr>
        <w:fldChar w:fldCharType="separate"/>
      </w:r>
      <w:r>
        <w:rPr>
          <w:rFonts w:ascii="Times New Roman" w:hAnsi="Times New Roman" w:cs="Times New Roman"/>
          <w:b/>
          <w:bCs/>
          <w:sz w:val="22"/>
          <w:szCs w:val="28"/>
        </w:rPr>
        <w:t>第二章  投标人须知</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_Toc22742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77C27ED0">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"_Toc11969" </w:instrText>
      </w:r>
      <w:r>
        <w:rPr>
          <w:b/>
          <w:bCs/>
          <w:sz w:val="22"/>
          <w:szCs w:val="28"/>
        </w:rPr>
        <w:fldChar w:fldCharType="separate"/>
      </w:r>
      <w:r>
        <w:rPr>
          <w:rFonts w:ascii="Times New Roman" w:hAnsi="Times New Roman" w:cs="Times New Roman"/>
          <w:b/>
          <w:bCs/>
          <w:sz w:val="22"/>
          <w:szCs w:val="28"/>
        </w:rPr>
        <w:t>第三章  招标人要求</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_Toc11969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5E908466">
      <w:pPr>
        <w:pStyle w:val="17"/>
        <w:tabs>
          <w:tab w:val="right" w:leader="dot" w:pos="8279"/>
        </w:tabs>
        <w:rPr>
          <w:rFonts w:hint="eastAsia" w:ascii="Times New Roman" w:hAnsi="Times New Roman" w:cs="Times New Roman" w:eastAsiaTheme="minorEastAsia"/>
          <w:b/>
          <w:bCs/>
          <w:sz w:val="22"/>
          <w:szCs w:val="28"/>
          <w:lang w:eastAsia="zh-CN"/>
        </w:rPr>
      </w:pPr>
      <w:r>
        <w:rPr>
          <w:b/>
          <w:bCs/>
          <w:sz w:val="22"/>
          <w:szCs w:val="28"/>
        </w:rPr>
        <w:fldChar w:fldCharType="begin"/>
      </w:r>
      <w:r>
        <w:rPr>
          <w:b/>
          <w:bCs/>
          <w:sz w:val="22"/>
          <w:szCs w:val="28"/>
        </w:rPr>
        <w:instrText xml:space="preserve"> HYPERLINK \l "_Toc17615" </w:instrText>
      </w:r>
      <w:r>
        <w:rPr>
          <w:b/>
          <w:bCs/>
          <w:sz w:val="22"/>
          <w:szCs w:val="28"/>
        </w:rPr>
        <w:fldChar w:fldCharType="separate"/>
      </w:r>
      <w:r>
        <w:rPr>
          <w:rFonts w:ascii="Times New Roman" w:hAnsi="Times New Roman" w:cs="Times New Roman"/>
          <w:b/>
          <w:bCs/>
          <w:sz w:val="22"/>
          <w:szCs w:val="28"/>
        </w:rPr>
        <w:t>第四章  评审方法和标准</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_Toc17615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r>
        <w:rPr>
          <w:rFonts w:hint="eastAsia" w:ascii="Times New Roman" w:hAnsi="Times New Roman" w:cs="Times New Roman"/>
          <w:b/>
          <w:bCs/>
          <w:sz w:val="22"/>
          <w:szCs w:val="28"/>
          <w:lang w:val="en-US" w:eastAsia="zh-CN"/>
        </w:rPr>
        <w:t>3</w:t>
      </w:r>
    </w:p>
    <w:p w14:paraId="388DE0AB">
      <w:pPr>
        <w:pStyle w:val="17"/>
        <w:tabs>
          <w:tab w:val="right" w:leader="dot" w:pos="8279"/>
        </w:tabs>
        <w:rPr>
          <w:rFonts w:hint="eastAsia" w:ascii="Times New Roman" w:hAnsi="Times New Roman" w:cs="Times New Roman" w:eastAsiaTheme="minorEastAsia"/>
          <w:b/>
          <w:bCs/>
          <w:sz w:val="22"/>
          <w:szCs w:val="28"/>
          <w:lang w:eastAsia="zh-CN"/>
        </w:rPr>
      </w:pPr>
      <w:r>
        <w:rPr>
          <w:b/>
          <w:bCs/>
          <w:sz w:val="22"/>
          <w:szCs w:val="28"/>
        </w:rPr>
        <w:fldChar w:fldCharType="begin"/>
      </w:r>
      <w:r>
        <w:rPr>
          <w:b/>
          <w:bCs/>
          <w:sz w:val="22"/>
          <w:szCs w:val="28"/>
        </w:rPr>
        <w:instrText xml:space="preserve"> HYPERLINK \l "_Toc28197" </w:instrText>
      </w:r>
      <w:r>
        <w:rPr>
          <w:b/>
          <w:bCs/>
          <w:sz w:val="22"/>
          <w:szCs w:val="28"/>
        </w:rPr>
        <w:fldChar w:fldCharType="separate"/>
      </w:r>
      <w:r>
        <w:rPr>
          <w:rFonts w:ascii="Times New Roman" w:hAnsi="Times New Roman" w:cs="Times New Roman"/>
          <w:b/>
          <w:bCs/>
          <w:sz w:val="22"/>
          <w:szCs w:val="28"/>
        </w:rPr>
        <w:t>第五章  合同</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_Toc28197 </w:instrText>
      </w:r>
      <w:r>
        <w:rPr>
          <w:rFonts w:ascii="Times New Roman" w:hAnsi="Times New Roman" w:cs="Times New Roman"/>
          <w:b/>
          <w:bCs/>
          <w:sz w:val="22"/>
          <w:szCs w:val="28"/>
        </w:rPr>
        <w:fldChar w:fldCharType="separate"/>
      </w:r>
      <w:r>
        <w:rPr>
          <w:b/>
        </w:rPr>
        <w:t>错误！未定义书签。</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r>
        <w:rPr>
          <w:rFonts w:hint="eastAsia" w:ascii="Times New Roman" w:hAnsi="Times New Roman" w:cs="Times New Roman"/>
          <w:b/>
          <w:bCs/>
          <w:sz w:val="22"/>
          <w:szCs w:val="28"/>
          <w:lang w:val="en-US" w:eastAsia="zh-CN"/>
        </w:rPr>
        <w:t>5</w:t>
      </w:r>
    </w:p>
    <w:p w14:paraId="13EDF089">
      <w:pPr>
        <w:pStyle w:val="17"/>
        <w:tabs>
          <w:tab w:val="right" w:leader="dot" w:pos="8279"/>
        </w:tabs>
        <w:rPr>
          <w:rFonts w:hint="default" w:ascii="Times New Roman" w:hAnsi="Times New Roman" w:cs="Times New Roman" w:eastAsiaTheme="minorEastAsia"/>
          <w:b/>
          <w:bCs/>
          <w:sz w:val="22"/>
          <w:szCs w:val="28"/>
          <w:lang w:val="en-US" w:eastAsia="zh-CN"/>
        </w:rPr>
      </w:pPr>
      <w:r>
        <w:rPr>
          <w:b/>
          <w:bCs/>
          <w:sz w:val="22"/>
          <w:szCs w:val="28"/>
        </w:rPr>
        <w:fldChar w:fldCharType="begin"/>
      </w:r>
      <w:r>
        <w:rPr>
          <w:b/>
          <w:bCs/>
          <w:sz w:val="22"/>
          <w:szCs w:val="28"/>
        </w:rPr>
        <w:instrText xml:space="preserve"> HYPERLINK \l "_Toc22226" </w:instrText>
      </w:r>
      <w:r>
        <w:rPr>
          <w:b/>
          <w:bCs/>
          <w:sz w:val="22"/>
          <w:szCs w:val="28"/>
        </w:rPr>
        <w:fldChar w:fldCharType="separate"/>
      </w:r>
      <w:r>
        <w:rPr>
          <w:rFonts w:ascii="Times New Roman" w:hAnsi="Times New Roman" w:cs="Times New Roman"/>
          <w:b/>
          <w:bCs/>
          <w:sz w:val="22"/>
          <w:szCs w:val="28"/>
        </w:rPr>
        <w:t>第六章  投标文件格式</w:t>
      </w:r>
      <w:r>
        <w:rPr>
          <w:rFonts w:ascii="Times New Roman" w:hAnsi="Times New Roman" w:cs="Times New Roman"/>
          <w:b/>
          <w:bCs/>
          <w:sz w:val="22"/>
          <w:szCs w:val="28"/>
        </w:rPr>
        <w:tab/>
      </w:r>
      <w:r>
        <w:rPr>
          <w:rFonts w:ascii="Times New Roman" w:hAnsi="Times New Roman" w:cs="Times New Roman"/>
          <w:b/>
          <w:bCs/>
          <w:sz w:val="22"/>
          <w:szCs w:val="28"/>
        </w:rPr>
        <w:fldChar w:fldCharType="end"/>
      </w:r>
      <w:r>
        <w:rPr>
          <w:rFonts w:hint="eastAsia" w:ascii="Times New Roman" w:hAnsi="Times New Roman" w:cs="Times New Roman"/>
          <w:b/>
          <w:bCs/>
          <w:sz w:val="22"/>
          <w:szCs w:val="28"/>
          <w:lang w:val="en-US" w:eastAsia="zh-CN"/>
        </w:rPr>
        <w:t>23</w:t>
      </w:r>
    </w:p>
    <w:p w14:paraId="7A20AD01">
      <w:pPr>
        <w:pStyle w:val="17"/>
        <w:tabs>
          <w:tab w:val="right" w:leader="dot" w:pos="8279"/>
        </w:tabs>
        <w:rPr>
          <w:rFonts w:ascii="Times New Roman" w:hAnsi="Times New Roman" w:cs="Times New Roman"/>
        </w:rPr>
      </w:pPr>
    </w:p>
    <w:p w14:paraId="63E2A785">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14:paraId="536687DE">
      <w:pPr>
        <w:spacing w:line="360" w:lineRule="auto"/>
        <w:jc w:val="center"/>
        <w:outlineLvl w:val="1"/>
        <w:rPr>
          <w:rFonts w:ascii="Times New Roman" w:hAnsi="Times New Roman" w:cs="Times New Roman" w:eastAsiaTheme="minorEastAsia"/>
          <w:b/>
          <w:sz w:val="28"/>
        </w:rPr>
        <w:sectPr>
          <w:footerReference r:id="rId3" w:type="default"/>
          <w:pgSz w:w="11907" w:h="16840"/>
          <w:pgMar w:top="1440" w:right="1519" w:bottom="1440" w:left="1519" w:header="851" w:footer="851" w:gutter="0"/>
          <w:cols w:space="720" w:num="1"/>
          <w:docGrid w:linePitch="462" w:charSpace="0"/>
        </w:sectPr>
      </w:pPr>
    </w:p>
    <w:p w14:paraId="1E7CCA1B">
      <w:pPr>
        <w:spacing w:line="360" w:lineRule="auto"/>
        <w:jc w:val="center"/>
        <w:outlineLvl w:val="1"/>
        <w:rPr>
          <w:rFonts w:ascii="Times New Roman" w:hAnsi="Times New Roman" w:cs="Times New Roman" w:eastAsiaTheme="minorEastAsia"/>
          <w:b/>
          <w:sz w:val="28"/>
        </w:rPr>
      </w:pPr>
      <w:bookmarkStart w:id="1" w:name="_Toc31841"/>
      <w:r>
        <w:rPr>
          <w:rFonts w:ascii="Times New Roman" w:hAnsi="Times New Roman" w:cs="Times New Roman" w:eastAsiaTheme="minorEastAsia"/>
          <w:b/>
          <w:sz w:val="28"/>
        </w:rPr>
        <w:t xml:space="preserve">第一章  </w:t>
      </w:r>
      <w:bookmarkEnd w:id="1"/>
      <w:r>
        <w:rPr>
          <w:rFonts w:hint="eastAsia" w:ascii="Times New Roman" w:hAnsi="Times New Roman" w:cs="Times New Roman"/>
          <w:b/>
          <w:sz w:val="28"/>
          <w:lang w:eastAsia="zh-CN"/>
        </w:rPr>
        <w:t>询比</w:t>
      </w:r>
      <w:r>
        <w:rPr>
          <w:rFonts w:ascii="Times New Roman" w:hAnsi="Times New Roman" w:cs="Times New Roman" w:eastAsiaTheme="minorEastAsia"/>
          <w:b/>
          <w:sz w:val="28"/>
        </w:rPr>
        <w:t>公告</w:t>
      </w:r>
    </w:p>
    <w:p w14:paraId="16F998FB">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21"/>
        </w:rPr>
      </w:pPr>
      <w:r>
        <w:rPr>
          <w:rFonts w:hint="eastAsia" w:ascii="Times New Roman" w:hAnsi="Times New Roman" w:cs="Times New Roman"/>
          <w:szCs w:val="21"/>
          <w:u w:val="single"/>
          <w:lang w:eastAsia="zh-CN"/>
        </w:rPr>
        <w:t>合肥经纬资产经营管理有限公司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现对</w:t>
      </w:r>
      <w:r>
        <w:rPr>
          <w:rFonts w:hint="eastAsia" w:ascii="Times New Roman" w:hAnsi="Times New Roman" w:cs="Times New Roman" w:eastAsiaTheme="minorEastAsia"/>
          <w:szCs w:val="21"/>
          <w:u w:val="single"/>
        </w:rPr>
        <w:t>合肥经纬资产经营管理有限公司处置FS420蜘蛛式高空平台等一批报废资产项目</w:t>
      </w:r>
      <w:r>
        <w:rPr>
          <w:rFonts w:ascii="Times New Roman" w:hAnsi="Times New Roman" w:cs="Times New Roman" w:eastAsiaTheme="minorEastAsia"/>
          <w:szCs w:val="21"/>
        </w:rPr>
        <w:t>进行</w:t>
      </w:r>
      <w:r>
        <w:rPr>
          <w:rFonts w:hint="eastAsia" w:ascii="Times New Roman" w:hAnsi="Times New Roman" w:cs="Times New Roman"/>
          <w:szCs w:val="21"/>
          <w:lang w:val="en-US" w:eastAsia="zh-CN"/>
        </w:rPr>
        <w:t>询比</w:t>
      </w:r>
      <w:r>
        <w:rPr>
          <w:rFonts w:ascii="Times New Roman" w:hAnsi="Times New Roman" w:cs="Times New Roman" w:eastAsiaTheme="minorEastAsia"/>
          <w:szCs w:val="21"/>
        </w:rPr>
        <w:t>，欢迎具备条件的投标人参加投标。</w:t>
      </w:r>
    </w:p>
    <w:p w14:paraId="322611FB">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14:paraId="2B696689">
      <w:pPr>
        <w:pageBreakBefore w:val="0"/>
        <w:kinsoku/>
        <w:overflowPunct/>
        <w:topLinePunct w:val="0"/>
        <w:autoSpaceDE w:val="0"/>
        <w:autoSpaceDN w:val="0"/>
        <w:bidi w:val="0"/>
        <w:adjustRightInd w:val="0"/>
        <w:snapToGrid/>
        <w:spacing w:line="360" w:lineRule="auto"/>
        <w:ind w:firstLine="420" w:firstLineChars="200"/>
        <w:jc w:val="left"/>
        <w:textAlignment w:val="auto"/>
        <w:rPr>
          <w:rFonts w:hint="default"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sz w:val="21"/>
          <w:szCs w:val="21"/>
        </w:rPr>
        <w:t>1.项目编号：</w:t>
      </w:r>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JWZCZB</w:t>
      </w:r>
      <w:r>
        <w:rPr>
          <w:rFonts w:hint="eastAsia" w:ascii="宋体" w:hAnsi="宋体"/>
          <w:bCs/>
          <w:color w:val="auto"/>
          <w:szCs w:val="21"/>
          <w:highlight w:val="none"/>
          <w:u w:val="single"/>
          <w:lang w:val="en-US" w:eastAsia="zh-CN"/>
        </w:rPr>
        <w:t>002</w:t>
      </w:r>
    </w:p>
    <w:p w14:paraId="5DA9A5C9">
      <w:pPr>
        <w:pageBreakBefore w:val="0"/>
        <w:kinsoku/>
        <w:overflowPunct/>
        <w:topLinePunct w:val="0"/>
        <w:autoSpaceDE w:val="0"/>
        <w:autoSpaceDN w:val="0"/>
        <w:bidi w:val="0"/>
        <w:adjustRightInd w:val="0"/>
        <w:snapToGrid/>
        <w:spacing w:line="360" w:lineRule="auto"/>
        <w:ind w:left="1680" w:leftChars="200" w:hanging="1260" w:hangingChars="6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hint="eastAsia" w:ascii="Times New Roman" w:hAnsi="Times New Roman" w:cs="Times New Roman" w:eastAsiaTheme="minorEastAsia"/>
          <w:szCs w:val="21"/>
          <w:u w:val="single"/>
        </w:rPr>
        <w:t>合肥经纬资产经营管理有限公司处置FS420蜘蛛式高空平台等一批报废资产项目</w:t>
      </w:r>
    </w:p>
    <w:p w14:paraId="3B6E68C0">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lang w:val="en-US" w:eastAsia="zh-CN"/>
        </w:rPr>
        <w:t>经纬公司、会展中心、体育中心</w:t>
      </w:r>
    </w:p>
    <w:p w14:paraId="1027C085">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rPr>
        <w:t>合肥经纬资产经营管理有限公司</w:t>
      </w:r>
    </w:p>
    <w:p w14:paraId="5848242F">
      <w:pPr>
        <w:spacing w:line="360" w:lineRule="auto"/>
        <w:ind w:firstLine="420" w:firstLineChars="200"/>
        <w:rPr>
          <w:rFonts w:ascii="Times New Roman" w:hAnsi="Times New Roman" w:cs="Times New Roman" w:eastAsiaTheme="minorEastAsia"/>
          <w:szCs w:val="21"/>
          <w:u w:val="single"/>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szCs w:val="21"/>
          <w:highlight w:val="none"/>
          <w:u w:val="single"/>
          <w:lang w:val="en-US" w:eastAsia="zh-CN"/>
        </w:rPr>
        <w:t>合肥经纬资产经营管理有限公司</w:t>
      </w:r>
      <w:r>
        <w:rPr>
          <w:rFonts w:hint="eastAsia" w:ascii="Times New Roman" w:hAnsi="Times New Roman" w:cs="Times New Roman"/>
          <w:szCs w:val="21"/>
          <w:highlight w:val="none"/>
          <w:u w:val="single"/>
          <w:lang w:eastAsia="zh-CN"/>
        </w:rPr>
        <w:t>资产处置回收，主要包括</w:t>
      </w:r>
      <w:r>
        <w:rPr>
          <w:rFonts w:hint="eastAsia" w:ascii="Times New Roman" w:hAnsi="Times New Roman" w:cs="Times New Roman" w:eastAsiaTheme="minorEastAsia"/>
          <w:sz w:val="21"/>
          <w:szCs w:val="21"/>
          <w:highlight w:val="none"/>
          <w:u w:val="single"/>
          <w:lang w:val="en-US" w:eastAsia="zh-CN"/>
        </w:rPr>
        <w:t>FS420蜘蛛式高空平台、综合馆吧台、联想电脑</w:t>
      </w:r>
      <w:r>
        <w:rPr>
          <w:rFonts w:hint="eastAsia" w:ascii="Times New Roman" w:hAnsi="Times New Roman" w:cs="Times New Roman"/>
          <w:sz w:val="21"/>
          <w:szCs w:val="21"/>
          <w:highlight w:val="none"/>
          <w:u w:val="single"/>
          <w:lang w:val="en-US" w:eastAsia="zh-CN"/>
        </w:rPr>
        <w:t>，</w:t>
      </w:r>
      <w:r>
        <w:rPr>
          <w:rFonts w:hint="eastAsia" w:ascii="Times New Roman" w:hAnsi="Times New Roman" w:cs="Times New Roman" w:eastAsiaTheme="minorEastAsia"/>
          <w:sz w:val="21"/>
          <w:szCs w:val="21"/>
          <w:highlight w:val="none"/>
          <w:u w:val="single"/>
          <w:lang w:val="en-US" w:eastAsia="zh-CN"/>
        </w:rPr>
        <w:t>详见资产清单</w:t>
      </w:r>
      <w:r>
        <w:rPr>
          <w:rFonts w:hint="eastAsia" w:ascii="Times New Roman" w:hAnsi="Times New Roman" w:cs="Times New Roman"/>
          <w:sz w:val="21"/>
          <w:szCs w:val="21"/>
          <w:highlight w:val="none"/>
          <w:u w:val="single"/>
          <w:lang w:val="en-US" w:eastAsia="zh-CN"/>
        </w:rPr>
        <w:t>。</w:t>
      </w:r>
    </w:p>
    <w:p w14:paraId="07391670">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w:t>
      </w:r>
      <w:r>
        <w:rPr>
          <w:rFonts w:ascii="Times New Roman" w:hAnsi="Times New Roman" w:cs="Times New Roman"/>
          <w:bCs/>
          <w:color w:val="000000"/>
          <w:sz w:val="21"/>
          <w:szCs w:val="21"/>
          <w:u w:val="single"/>
        </w:rPr>
        <w:t xml:space="preserve">   </w:t>
      </w:r>
    </w:p>
    <w:p w14:paraId="59B0D181">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w:t>
      </w:r>
      <w:r>
        <w:rPr>
          <w:rFonts w:ascii="Times New Roman" w:hAnsi="Times New Roman" w:cs="Times New Roman" w:eastAsiaTheme="minorEastAsia"/>
          <w:szCs w:val="21"/>
        </w:rPr>
        <w:t>项目</w:t>
      </w:r>
      <w:r>
        <w:rPr>
          <w:rFonts w:hint="eastAsia" w:ascii="Times New Roman" w:hAnsi="Times New Roman" w:cs="Times New Roman"/>
          <w:szCs w:val="21"/>
          <w:lang w:val="en-US" w:eastAsia="zh-CN"/>
        </w:rPr>
        <w:t>最低限价</w:t>
      </w:r>
      <w:r>
        <w:rPr>
          <w:rFonts w:hint="eastAsia" w:asciiTheme="majorEastAsia" w:hAnsiTheme="majorEastAsia" w:eastAsiaTheme="majorEastAsia" w:cstheme="majorEastAsia"/>
          <w:sz w:val="21"/>
          <w:szCs w:val="21"/>
        </w:rPr>
        <w:t>：</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9264元</w:t>
      </w:r>
      <w:r>
        <w:rPr>
          <w:rFonts w:ascii="Times New Roman" w:hAnsi="Times New Roman" w:cs="Times New Roman"/>
          <w:bCs/>
          <w:color w:val="000000"/>
          <w:sz w:val="21"/>
          <w:szCs w:val="21"/>
          <w:u w:val="single"/>
        </w:rPr>
        <w:t xml:space="preserve"> </w:t>
      </w:r>
    </w:p>
    <w:p w14:paraId="08C573C4">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14:paraId="7D3CC440">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9.标段划分：共分</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个标段，本次</w:t>
      </w:r>
      <w:r>
        <w:rPr>
          <w:rFonts w:hint="eastAsia" w:asciiTheme="majorEastAsia" w:hAnsiTheme="majorEastAsia" w:eastAsiaTheme="majorEastAsia" w:cstheme="majorEastAsia"/>
          <w:sz w:val="21"/>
          <w:szCs w:val="21"/>
          <w:lang w:eastAsia="zh-CN"/>
        </w:rPr>
        <w:t>询比</w:t>
      </w:r>
      <w:r>
        <w:rPr>
          <w:rFonts w:hint="eastAsia" w:asciiTheme="majorEastAsia" w:hAnsiTheme="majorEastAsia" w:eastAsiaTheme="majorEastAsia" w:cstheme="majorEastAsia"/>
          <w:sz w:val="21"/>
          <w:szCs w:val="21"/>
        </w:rPr>
        <w:t>第</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标段。</w:t>
      </w:r>
    </w:p>
    <w:p w14:paraId="0E8625FB">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14:paraId="47B3228B">
      <w:pPr>
        <w:pageBreakBefore w:val="0"/>
        <w:kinsoku/>
        <w:overflowPunct/>
        <w:topLinePunct w:val="0"/>
        <w:autoSpaceDE w:val="0"/>
        <w:autoSpaceDN w:val="0"/>
        <w:bidi w:val="0"/>
        <w:adjustRightInd w:val="0"/>
        <w:snapToGrid/>
        <w:spacing w:line="360" w:lineRule="auto"/>
        <w:ind w:firstLine="420" w:firstLineChars="20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1.投标人应具有如下资格之一：</w:t>
      </w:r>
    </w:p>
    <w:p w14:paraId="3C8303D4">
      <w:pPr>
        <w:pageBreakBefore w:val="0"/>
        <w:kinsoku/>
        <w:overflowPunct/>
        <w:topLinePunct w:val="0"/>
        <w:autoSpaceDE w:val="0"/>
        <w:autoSpaceDN w:val="0"/>
        <w:bidi w:val="0"/>
        <w:adjustRightInd w:val="0"/>
        <w:snapToGrid/>
        <w:spacing w:line="360" w:lineRule="auto"/>
        <w:ind w:firstLine="420" w:firstLineChars="20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（1）具有独立承担民事责任能力的有效存续的境内企事业法人(提供营业执照和法人身份证复印件);</w:t>
      </w:r>
    </w:p>
    <w:p w14:paraId="6043AA54">
      <w:pPr>
        <w:pageBreakBefore w:val="0"/>
        <w:kinsoku/>
        <w:overflowPunct/>
        <w:topLinePunct w:val="0"/>
        <w:autoSpaceDE w:val="0"/>
        <w:autoSpaceDN w:val="0"/>
        <w:bidi w:val="0"/>
        <w:adjustRightInd w:val="0"/>
        <w:snapToGrid/>
        <w:spacing w:line="360" w:lineRule="auto"/>
        <w:ind w:firstLine="420" w:firstLineChars="20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（2）具有独立承担民事责任能力的自然人(提供身份证复印件）。</w:t>
      </w:r>
    </w:p>
    <w:p w14:paraId="58A2E935">
      <w:pPr>
        <w:pageBreakBefore w:val="0"/>
        <w:kinsoku/>
        <w:overflowPunct/>
        <w:topLinePunct w:val="0"/>
        <w:autoSpaceDE w:val="0"/>
        <w:autoSpaceDN w:val="0"/>
        <w:bidi w:val="0"/>
        <w:adjustRightInd w:val="0"/>
        <w:snapToGrid/>
        <w:spacing w:line="360" w:lineRule="auto"/>
        <w:ind w:firstLine="420" w:firstLineChars="20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2.本项目不接受联合体投标。</w:t>
      </w:r>
    </w:p>
    <w:p w14:paraId="20758433">
      <w:pPr>
        <w:pageBreakBefore w:val="0"/>
        <w:kinsoku/>
        <w:overflowPunct/>
        <w:topLinePunct w:val="0"/>
        <w:autoSpaceDE w:val="0"/>
        <w:autoSpaceDN w:val="0"/>
        <w:bidi w:val="0"/>
        <w:adjustRightInd w:val="0"/>
        <w:snapToGrid/>
        <w:spacing w:line="360" w:lineRule="auto"/>
        <w:ind w:firstLine="420" w:firstLineChars="200"/>
        <w:jc w:val="left"/>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3.投标人近二年未被列入合肥文旅博览集团有限公司信用评价体系黑名单。</w:t>
      </w:r>
    </w:p>
    <w:p w14:paraId="733F58F9">
      <w:pPr>
        <w:pageBreakBefore w:val="0"/>
        <w:kinsoku/>
        <w:overflowPunct/>
        <w:topLinePunct w:val="0"/>
        <w:bidi w:val="0"/>
        <w:snapToGrid/>
        <w:spacing w:line="360" w:lineRule="auto"/>
        <w:ind w:firstLine="482" w:firstLineChars="200"/>
        <w:textAlignment w:val="auto"/>
        <w:rPr>
          <w:rFonts w:hint="eastAsia" w:ascii="Times New Roman" w:hAnsi="Times New Roman" w:cs="Times New Roman" w:eastAsiaTheme="minorEastAsia"/>
          <w:b/>
          <w:bCs/>
          <w:sz w:val="24"/>
          <w:szCs w:val="18"/>
          <w:lang w:val="en-US" w:eastAsia="zh-CN"/>
        </w:rPr>
      </w:pPr>
      <w:r>
        <w:rPr>
          <w:rFonts w:ascii="Times New Roman" w:hAnsi="Times New Roman" w:cs="Times New Roman" w:eastAsiaTheme="minorEastAsia"/>
          <w:b/>
          <w:bCs/>
          <w:sz w:val="24"/>
          <w:szCs w:val="18"/>
        </w:rPr>
        <w:t>三</w:t>
      </w:r>
      <w:r>
        <w:rPr>
          <w:rFonts w:ascii="Times New Roman" w:hAnsi="Times New Roman" w:cs="Times New Roman" w:eastAsiaTheme="minorEastAsia"/>
          <w:b/>
          <w:sz w:val="24"/>
        </w:rPr>
        <w:t>、</w:t>
      </w:r>
      <w:r>
        <w:rPr>
          <w:rFonts w:hint="eastAsia" w:ascii="Times New Roman" w:hAnsi="Times New Roman" w:cs="Times New Roman"/>
          <w:b/>
          <w:bCs/>
          <w:sz w:val="24"/>
          <w:szCs w:val="18"/>
          <w:lang w:eastAsia="zh-CN"/>
        </w:rPr>
        <w:t>询比</w:t>
      </w:r>
      <w:r>
        <w:rPr>
          <w:rFonts w:ascii="Times New Roman" w:hAnsi="Times New Roman" w:cs="Times New Roman" w:eastAsiaTheme="minorEastAsia"/>
          <w:b/>
          <w:bCs/>
          <w:sz w:val="24"/>
          <w:szCs w:val="18"/>
        </w:rPr>
        <w:t>文件的获取</w:t>
      </w:r>
      <w:r>
        <w:rPr>
          <w:rFonts w:hint="eastAsia" w:ascii="Times New Roman" w:hAnsi="Times New Roman" w:cs="Times New Roman" w:eastAsiaTheme="minorEastAsia"/>
          <w:b/>
          <w:bCs/>
          <w:sz w:val="24"/>
          <w:szCs w:val="18"/>
          <w:lang w:val="en-US" w:eastAsia="zh-CN"/>
        </w:rPr>
        <w:t>及报名</w:t>
      </w:r>
    </w:p>
    <w:p w14:paraId="082BECE9">
      <w:pPr>
        <w:pageBreakBefore w:val="0"/>
        <w:widowControl/>
        <w:kinsoku/>
        <w:overflowPunct/>
        <w:topLinePunct w:val="0"/>
        <w:bidi w:val="0"/>
        <w:snapToGrid/>
        <w:spacing w:line="500" w:lineRule="exact"/>
        <w:ind w:firstLine="420" w:firstLineChars="200"/>
        <w:jc w:val="left"/>
        <w:textAlignment w:val="auto"/>
        <w:rPr>
          <w:rFonts w:ascii="Times New Roman" w:hAnsi="Times New Roman" w:eastAsia="宋体" w:cs="Times New Roman"/>
          <w:bCs/>
          <w:snapToGrid w:val="0"/>
          <w:color w:val="auto"/>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lang w:val="en-US" w:eastAsia="zh-CN"/>
        </w:rPr>
        <w:t>报名</w:t>
      </w:r>
      <w:r>
        <w:rPr>
          <w:rFonts w:ascii="Times New Roman" w:hAnsi="Times New Roman" w:cs="Times New Roman" w:eastAsiaTheme="majorEastAsia"/>
          <w:szCs w:val="21"/>
        </w:rPr>
        <w:t>时间：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2026</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1</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月</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16</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日至</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2026</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1</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月</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22</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日(北京时间)</w:t>
      </w:r>
    </w:p>
    <w:p w14:paraId="11F96798">
      <w:pPr>
        <w:pageBreakBefore w:val="0"/>
        <w:widowControl/>
        <w:kinsoku/>
        <w:wordWrap w:val="0"/>
        <w:overflowPunct/>
        <w:topLinePunct w:val="0"/>
        <w:bidi w:val="0"/>
        <w:snapToGrid/>
        <w:spacing w:line="500" w:lineRule="exact"/>
        <w:ind w:firstLine="420" w:firstLineChars="200"/>
        <w:jc w:val="left"/>
        <w:textAlignment w:val="auto"/>
        <w:rPr>
          <w:rFonts w:ascii="Times New Roman" w:hAnsi="Times New Roman" w:eastAsia="宋体" w:cs="Times New Roman"/>
          <w:bCs/>
          <w:snapToGrid w:val="0"/>
          <w:color w:val="auto"/>
        </w:rPr>
      </w:pPr>
      <w:r>
        <w:rPr>
          <w:rFonts w:ascii="Times New Roman" w:hAnsi="Times New Roman" w:cs="Times New Roman" w:eastAsiaTheme="majorEastAsia"/>
          <w:color w:val="auto"/>
          <w:szCs w:val="21"/>
        </w:rPr>
        <w:t>2.</w:t>
      </w:r>
      <w:r>
        <w:rPr>
          <w:rFonts w:hint="eastAsia" w:ascii="Times New Roman" w:hAnsi="Times New Roman" w:cs="Times New Roman" w:eastAsiaTheme="majorEastAsia"/>
          <w:color w:val="auto"/>
          <w:szCs w:val="21"/>
          <w:lang w:val="en-US" w:eastAsia="zh-CN"/>
        </w:rPr>
        <w:t>询比文件</w:t>
      </w:r>
      <w:r>
        <w:rPr>
          <w:rFonts w:ascii="Times New Roman" w:hAnsi="Times New Roman" w:cs="Times New Roman" w:eastAsiaTheme="majorEastAsia"/>
          <w:color w:val="auto"/>
          <w:szCs w:val="21"/>
        </w:rPr>
        <w:t>获取方式：</w:t>
      </w:r>
      <w:r>
        <w:rPr>
          <w:rFonts w:ascii="Times New Roman" w:hAnsi="Times New Roman" w:eastAsia="宋体" w:cs="Times New Roman"/>
          <w:bCs/>
          <w:snapToGrid w:val="0"/>
          <w:color w:val="auto"/>
        </w:rPr>
        <w:t>投标人登录合肥文旅博览集团有限公司</w:t>
      </w:r>
      <w:r>
        <w:rPr>
          <w:rFonts w:hint="eastAsia" w:ascii="Times New Roman" w:hAnsi="Times New Roman" w:eastAsia="宋体" w:cs="Times New Roman"/>
          <w:bCs/>
          <w:snapToGrid w:val="0"/>
          <w:color w:val="auto"/>
          <w:lang w:val="en-US" w:eastAsia="zh-CN"/>
        </w:rPr>
        <w:t>官网</w:t>
      </w:r>
      <w:r>
        <w:rPr>
          <w:rFonts w:ascii="Times New Roman" w:hAnsi="Times New Roman" w:eastAsia="宋体" w:cs="Times New Roman"/>
          <w:bCs/>
          <w:snapToGrid w:val="0"/>
          <w:color w:val="auto"/>
        </w:rPr>
        <w:t>（http://www.zwzcgl.com）下载</w:t>
      </w:r>
      <w:r>
        <w:rPr>
          <w:rFonts w:hint="eastAsia" w:ascii="Times New Roman" w:hAnsi="Times New Roman" w:eastAsia="宋体" w:cs="Times New Roman"/>
          <w:bCs/>
          <w:snapToGrid w:val="0"/>
          <w:color w:val="auto"/>
          <w:lang w:eastAsia="zh-CN"/>
        </w:rPr>
        <w:t>询比</w:t>
      </w:r>
      <w:r>
        <w:rPr>
          <w:rFonts w:ascii="Times New Roman" w:hAnsi="Times New Roman" w:eastAsia="宋体" w:cs="Times New Roman"/>
          <w:bCs/>
          <w:snapToGrid w:val="0"/>
          <w:color w:val="auto"/>
        </w:rPr>
        <w:t>文件</w:t>
      </w:r>
    </w:p>
    <w:p w14:paraId="775FD3CE">
      <w:pPr>
        <w:pageBreakBefore w:val="0"/>
        <w:widowControl/>
        <w:kinsoku/>
        <w:wordWrap w:val="0"/>
        <w:overflowPunct/>
        <w:topLinePunct w:val="0"/>
        <w:bidi w:val="0"/>
        <w:snapToGrid/>
        <w:spacing w:line="500" w:lineRule="exact"/>
        <w:ind w:firstLine="420" w:firstLineChars="200"/>
        <w:jc w:val="left"/>
        <w:textAlignment w:val="auto"/>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3.报名方法：投标人下载附件《投标报名信息表》并完整填写信息后在规定的报名日期内发送至邮箱：</w:t>
      </w:r>
      <w:r>
        <w:rPr>
          <w:color w:val="auto"/>
        </w:rPr>
        <w:fldChar w:fldCharType="begin"/>
      </w:r>
      <w:r>
        <w:rPr>
          <w:color w:val="auto"/>
        </w:rPr>
        <w:instrText xml:space="preserve"> HYPERLINK "mailto:1018862861@qq.com" </w:instrText>
      </w:r>
      <w:r>
        <w:rPr>
          <w:color w:val="auto"/>
        </w:rPr>
        <w:fldChar w:fldCharType="separate"/>
      </w:r>
      <w:r>
        <w:rPr>
          <w:rStyle w:val="26"/>
          <w:rFonts w:hint="eastAsia" w:ascii="Times New Roman" w:hAnsi="Times New Roman" w:cs="Times New Roman" w:eastAsiaTheme="majorEastAsia"/>
          <w:color w:val="auto"/>
          <w:szCs w:val="21"/>
        </w:rPr>
        <w:t>101886</w:t>
      </w:r>
      <w:r>
        <w:rPr>
          <w:rStyle w:val="26"/>
          <w:rFonts w:hint="eastAsia" w:ascii="Times New Roman" w:hAnsi="Times New Roman" w:cs="Times New Roman" w:eastAsiaTheme="majorEastAsia"/>
          <w:color w:val="auto"/>
          <w:szCs w:val="21"/>
          <w:lang w:val="en-US" w:eastAsia="zh-CN"/>
        </w:rPr>
        <w:t>5</w:t>
      </w:r>
      <w:r>
        <w:rPr>
          <w:rStyle w:val="26"/>
          <w:rFonts w:hint="eastAsia" w:ascii="Times New Roman" w:hAnsi="Times New Roman" w:cs="Times New Roman" w:eastAsiaTheme="majorEastAsia"/>
          <w:color w:val="auto"/>
          <w:szCs w:val="21"/>
        </w:rPr>
        <w:t>861</w:t>
      </w:r>
      <w:r>
        <w:rPr>
          <w:rStyle w:val="26"/>
          <w:rFonts w:ascii="Times New Roman" w:hAnsi="Times New Roman" w:cs="Times New Roman" w:eastAsiaTheme="majorEastAsia"/>
          <w:color w:val="auto"/>
          <w:szCs w:val="21"/>
        </w:rPr>
        <w:t>@qq.com</w:t>
      </w:r>
      <w:r>
        <w:rPr>
          <w:rStyle w:val="26"/>
          <w:rFonts w:ascii="Times New Roman" w:hAnsi="Times New Roman" w:cs="Times New Roman" w:eastAsiaTheme="majorEastAsia"/>
          <w:color w:val="auto"/>
          <w:szCs w:val="21"/>
        </w:rPr>
        <w:fldChar w:fldCharType="end"/>
      </w:r>
    </w:p>
    <w:p w14:paraId="2A05E586">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四</w:t>
      </w:r>
      <w:r>
        <w:rPr>
          <w:rFonts w:ascii="Times New Roman" w:hAnsi="Times New Roman" w:cs="Times New Roman" w:eastAsiaTheme="minorEastAsia"/>
          <w:b/>
          <w:color w:val="auto"/>
          <w:sz w:val="24"/>
        </w:rPr>
        <w:t>、</w:t>
      </w:r>
      <w:r>
        <w:rPr>
          <w:rFonts w:hint="eastAsia" w:ascii="Times New Roman" w:hAnsi="Times New Roman" w:cs="Times New Roman"/>
          <w:b/>
          <w:bCs/>
          <w:color w:val="auto"/>
          <w:sz w:val="24"/>
          <w:szCs w:val="18"/>
          <w:lang w:eastAsia="zh-CN"/>
        </w:rPr>
        <w:t>询比</w:t>
      </w:r>
      <w:r>
        <w:rPr>
          <w:rFonts w:ascii="Times New Roman" w:hAnsi="Times New Roman" w:cs="Times New Roman" w:eastAsiaTheme="minorEastAsia"/>
          <w:b/>
          <w:bCs/>
          <w:color w:val="auto"/>
          <w:sz w:val="24"/>
          <w:szCs w:val="18"/>
        </w:rPr>
        <w:t>时间及地点</w:t>
      </w:r>
    </w:p>
    <w:p w14:paraId="165F07CE">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1</w:t>
      </w:r>
      <w:r>
        <w:rPr>
          <w:rFonts w:ascii="Times New Roman" w:hAnsi="Times New Roman" w:cs="Times New Roman" w:eastAsiaTheme="minorEastAsia"/>
          <w:b/>
          <w:color w:val="auto"/>
          <w:szCs w:val="16"/>
        </w:rPr>
        <w:t>.</w:t>
      </w:r>
      <w:r>
        <w:rPr>
          <w:rFonts w:hint="eastAsia" w:ascii="Times New Roman" w:hAnsi="Times New Roman" w:cs="Times New Roman"/>
          <w:color w:val="auto"/>
          <w:szCs w:val="15"/>
          <w:lang w:eastAsia="zh-CN"/>
        </w:rPr>
        <w:t>询比</w:t>
      </w:r>
      <w:r>
        <w:rPr>
          <w:rFonts w:ascii="Times New Roman" w:hAnsi="Times New Roman" w:cs="Times New Roman" w:eastAsiaTheme="minorEastAsia"/>
          <w:color w:val="auto"/>
          <w:szCs w:val="15"/>
        </w:rPr>
        <w:t>时间：</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2026</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eastAsia="宋体" w:cs="Times New Roman"/>
          <w:bCs/>
          <w:snapToGrid w:val="0"/>
          <w:color w:val="auto"/>
          <w:sz w:val="18"/>
          <w:szCs w:val="16"/>
        </w:rPr>
        <w:t>年</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1</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eastAsia="宋体" w:cs="Times New Roman"/>
          <w:bCs/>
          <w:snapToGrid w:val="0"/>
          <w:color w:val="auto"/>
          <w:sz w:val="18"/>
          <w:szCs w:val="16"/>
        </w:rPr>
        <w:t>月</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23</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eastAsia="宋体" w:cs="Times New Roman"/>
          <w:bCs/>
          <w:snapToGrid w:val="0"/>
          <w:color w:val="auto"/>
          <w:sz w:val="18"/>
          <w:szCs w:val="16"/>
        </w:rPr>
        <w:t>日</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9</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cs="Times New Roman" w:eastAsiaTheme="minorEastAsia"/>
          <w:color w:val="auto"/>
          <w:szCs w:val="15"/>
        </w:rPr>
        <w:t>时</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30</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cs="Times New Roman" w:eastAsiaTheme="minorEastAsia"/>
          <w:color w:val="auto"/>
          <w:szCs w:val="15"/>
        </w:rPr>
        <w:t>分</w:t>
      </w:r>
    </w:p>
    <w:p w14:paraId="194BDEED">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u w:val="single"/>
        </w:rPr>
      </w:pPr>
      <w:r>
        <w:rPr>
          <w:rFonts w:ascii="Times New Roman" w:hAnsi="Times New Roman" w:cs="Times New Roman" w:eastAsiaTheme="minorEastAsia"/>
          <w:szCs w:val="15"/>
        </w:rPr>
        <w:t>2</w:t>
      </w:r>
      <w:r>
        <w:rPr>
          <w:rFonts w:ascii="Times New Roman" w:hAnsi="Times New Roman" w:cs="Times New Roman" w:eastAsiaTheme="minorEastAsia"/>
          <w:b/>
          <w:szCs w:val="16"/>
        </w:rPr>
        <w:t>.</w:t>
      </w:r>
      <w:r>
        <w:rPr>
          <w:rFonts w:hint="eastAsia" w:ascii="Times New Roman" w:hAnsi="Times New Roman" w:cs="Times New Roman"/>
          <w:szCs w:val="15"/>
          <w:lang w:eastAsia="zh-CN"/>
        </w:rPr>
        <w:t>询比</w:t>
      </w:r>
      <w:r>
        <w:rPr>
          <w:rFonts w:ascii="Times New Roman" w:hAnsi="Times New Roman" w:cs="Times New Roman" w:eastAsiaTheme="minorEastAsia"/>
          <w:szCs w:val="15"/>
        </w:rPr>
        <w:t>地点：</w:t>
      </w:r>
      <w:r>
        <w:rPr>
          <w:rFonts w:hint="eastAsia" w:ascii="宋体" w:hAnsi="宋体" w:cs="宋体"/>
          <w:kern w:val="0"/>
          <w:szCs w:val="21"/>
          <w:u w:val="single"/>
        </w:rPr>
        <w:t>合肥市汤池路与茗香路交口文渊府老售楼部二楼</w:t>
      </w:r>
      <w:r>
        <w:rPr>
          <w:rFonts w:hint="eastAsia" w:ascii="宋体" w:hAnsi="宋体" w:cs="宋体"/>
          <w:kern w:val="0"/>
          <w:szCs w:val="21"/>
          <w:u w:val="single"/>
          <w:lang w:val="en-US" w:eastAsia="zh-CN"/>
        </w:rPr>
        <w:t>会议室</w:t>
      </w:r>
    </w:p>
    <w:p w14:paraId="60AFCE51">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五</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投标文件提交截止时间</w:t>
      </w:r>
    </w:p>
    <w:p w14:paraId="41E4FC12">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rPr>
      </w:pPr>
      <w:r>
        <w:rPr>
          <w:rFonts w:ascii="Times New Roman" w:hAnsi="Times New Roman" w:cs="Times New Roman" w:eastAsiaTheme="minorEastAsia"/>
          <w:szCs w:val="15"/>
        </w:rPr>
        <w:t>同</w:t>
      </w:r>
      <w:r>
        <w:rPr>
          <w:rFonts w:hint="eastAsia" w:ascii="Times New Roman" w:hAnsi="Times New Roman" w:cs="Times New Roman"/>
          <w:szCs w:val="15"/>
          <w:lang w:eastAsia="zh-CN"/>
        </w:rPr>
        <w:t>询比</w:t>
      </w:r>
      <w:r>
        <w:rPr>
          <w:rFonts w:ascii="Times New Roman" w:hAnsi="Times New Roman" w:cs="Times New Roman" w:eastAsiaTheme="minorEastAsia"/>
          <w:szCs w:val="15"/>
        </w:rPr>
        <w:t>时间</w:t>
      </w:r>
    </w:p>
    <w:p w14:paraId="5A60EA59">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sz w:val="24"/>
          <w:szCs w:val="18"/>
        </w:rPr>
        <w:t>六</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联系方式</w:t>
      </w:r>
    </w:p>
    <w:p w14:paraId="7A8262BA">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rPr>
      </w:pPr>
      <w:r>
        <w:rPr>
          <w:rFonts w:ascii="Times New Roman" w:hAnsi="Times New Roman" w:cs="Times New Roman" w:eastAsiaTheme="minorEastAsia"/>
          <w:szCs w:val="15"/>
        </w:rPr>
        <w:t>1.招标人</w:t>
      </w:r>
    </w:p>
    <w:p w14:paraId="72A4B96B">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招标人：</w:t>
      </w:r>
      <w:r>
        <w:rPr>
          <w:rFonts w:hint="eastAsia" w:ascii="Times New Roman" w:hAnsi="Times New Roman" w:cs="Times New Roman"/>
          <w:szCs w:val="21"/>
          <w:u w:val="single"/>
        </w:rPr>
        <w:t>合肥经纬资产经营管理有限公司</w:t>
      </w:r>
    </w:p>
    <w:p w14:paraId="0706072B">
      <w:pPr>
        <w:pageBreakBefore w:val="0"/>
        <w:kinsoku/>
        <w:overflowPunct/>
        <w:topLinePunct w:val="0"/>
        <w:bidi w:val="0"/>
        <w:snapToGrid/>
        <w:spacing w:line="360" w:lineRule="auto"/>
        <w:ind w:firstLine="420" w:firstLineChars="200"/>
        <w:textAlignment w:val="auto"/>
        <w:rPr>
          <w:rFonts w:hint="eastAsia" w:ascii="宋体" w:hAnsi="宋体" w:cs="宋体"/>
          <w:color w:val="000000" w:themeColor="text1"/>
          <w:kern w:val="0"/>
          <w:szCs w:val="21"/>
          <w:u w:val="single"/>
          <w14:textFill>
            <w14:solidFill>
              <w14:schemeClr w14:val="tx1"/>
            </w14:solidFill>
          </w14:textFill>
        </w:rPr>
      </w:pPr>
      <w:r>
        <w:rPr>
          <w:rFonts w:ascii="Times New Roman" w:hAnsi="Times New Roman" w:cs="Times New Roman" w:eastAsiaTheme="minorEastAsia"/>
          <w:szCs w:val="15"/>
        </w:rPr>
        <w:t>地  址：</w:t>
      </w:r>
      <w:r>
        <w:rPr>
          <w:rFonts w:hint="eastAsia" w:ascii="宋体" w:hAnsi="宋体" w:cs="宋体"/>
          <w:kern w:val="0"/>
          <w:szCs w:val="21"/>
          <w:u w:val="single"/>
        </w:rPr>
        <w:t>合肥市汤池路与茗香路交口文渊府</w:t>
      </w:r>
      <w:r>
        <w:rPr>
          <w:rFonts w:hint="eastAsia" w:ascii="宋体" w:hAnsi="宋体" w:cs="宋体"/>
          <w:color w:val="000000" w:themeColor="text1"/>
          <w:kern w:val="0"/>
          <w:szCs w:val="21"/>
          <w:u w:val="single"/>
          <w14:textFill>
            <w14:solidFill>
              <w14:schemeClr w14:val="tx1"/>
            </w14:solidFill>
          </w14:textFill>
        </w:rPr>
        <w:t>老售楼部</w:t>
      </w:r>
    </w:p>
    <w:p w14:paraId="2165D912">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rPr>
      </w:pPr>
      <w:r>
        <w:rPr>
          <w:rFonts w:ascii="Times New Roman" w:hAnsi="Times New Roman" w:cs="Times New Roman" w:eastAsiaTheme="minorEastAsia"/>
          <w:szCs w:val="15"/>
        </w:rPr>
        <w:t>联系人：</w:t>
      </w:r>
      <w:r>
        <w:rPr>
          <w:rFonts w:hint="eastAsia" w:ascii="Times New Roman" w:hAnsi="Times New Roman" w:cs="Times New Roman"/>
          <w:szCs w:val="15"/>
          <w:u w:val="single"/>
        </w:rPr>
        <w:t>王工</w:t>
      </w:r>
      <w:r>
        <w:rPr>
          <w:rFonts w:ascii="Times New Roman" w:hAnsi="Times New Roman" w:cs="Times New Roman" w:eastAsiaTheme="minorEastAsia"/>
          <w:szCs w:val="15"/>
          <w:u w:val="single"/>
        </w:rPr>
        <w:t xml:space="preserve"> </w:t>
      </w:r>
    </w:p>
    <w:p w14:paraId="38198EBA">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u w:val="single"/>
        </w:rPr>
      </w:pPr>
      <w:r>
        <w:rPr>
          <w:rFonts w:ascii="Times New Roman" w:hAnsi="Times New Roman" w:cs="Times New Roman" w:eastAsiaTheme="minorEastAsia"/>
          <w:szCs w:val="15"/>
        </w:rPr>
        <w:t>电  话：</w:t>
      </w:r>
      <w:r>
        <w:rPr>
          <w:rFonts w:hint="eastAsia" w:ascii="Times New Roman" w:hAnsi="Times New Roman" w:cs="Times New Roman"/>
          <w:szCs w:val="15"/>
          <w:u w:val="single"/>
          <w:lang w:val="en-US" w:eastAsia="zh-CN"/>
        </w:rPr>
        <w:t>0551-6</w:t>
      </w:r>
      <w:r>
        <w:rPr>
          <w:rFonts w:hint="eastAsia" w:ascii="Times New Roman" w:hAnsi="Times New Roman" w:cs="Times New Roman" w:eastAsiaTheme="minorEastAsia"/>
          <w:szCs w:val="15"/>
          <w:u w:val="single"/>
        </w:rPr>
        <w:t>3530731</w:t>
      </w:r>
    </w:p>
    <w:p w14:paraId="2319C480">
      <w:pPr>
        <w:numPr>
          <w:ilvl w:val="0"/>
          <w:numId w:val="0"/>
        </w:numPr>
        <w:spacing w:line="360" w:lineRule="auto"/>
        <w:ind w:firstLine="420" w:firstLineChars="200"/>
        <w:rPr>
          <w:rFonts w:hint="eastAsia" w:ascii="Times New Roman" w:hAnsi="Times New Roman" w:cs="Times New Roman"/>
          <w:szCs w:val="15"/>
          <w:lang w:val="en-US" w:eastAsia="zh-CN"/>
        </w:rPr>
      </w:pPr>
      <w:r>
        <w:rPr>
          <w:rFonts w:hint="eastAsia" w:ascii="Times New Roman" w:hAnsi="Times New Roman" w:cs="Times New Roman"/>
          <w:szCs w:val="15"/>
          <w:lang w:val="en-US" w:eastAsia="zh-CN"/>
        </w:rPr>
        <w:t>2.现场踏勘</w:t>
      </w:r>
    </w:p>
    <w:p w14:paraId="5744574C">
      <w:pPr>
        <w:numPr>
          <w:ilvl w:val="-1"/>
          <w:numId w:val="0"/>
        </w:numPr>
        <w:spacing w:line="360" w:lineRule="auto"/>
        <w:ind w:firstLine="420" w:firstLineChars="200"/>
        <w:rPr>
          <w:rFonts w:hint="eastAsia" w:ascii="Times New Roman" w:hAnsi="Times New Roman" w:cs="Times New Roman"/>
          <w:szCs w:val="15"/>
          <w:u w:val="single"/>
          <w:lang w:val="en-US" w:eastAsia="zh-CN"/>
        </w:rPr>
      </w:pPr>
      <w:r>
        <w:rPr>
          <w:rFonts w:hint="eastAsia" w:ascii="Times New Roman" w:hAnsi="Times New Roman" w:cs="Times New Roman"/>
          <w:szCs w:val="15"/>
          <w:lang w:val="en-US" w:eastAsia="zh-CN"/>
        </w:rPr>
        <w:t>联系人：</w:t>
      </w:r>
      <w:r>
        <w:rPr>
          <w:rFonts w:hint="eastAsia" w:ascii="Times New Roman" w:hAnsi="Times New Roman" w:cs="Times New Roman"/>
          <w:szCs w:val="15"/>
          <w:u w:val="single"/>
          <w:lang w:val="en-US" w:eastAsia="zh-CN"/>
        </w:rPr>
        <w:t xml:space="preserve">王工 </w:t>
      </w:r>
    </w:p>
    <w:p w14:paraId="268ADED2">
      <w:pPr>
        <w:numPr>
          <w:ilvl w:val="-1"/>
          <w:numId w:val="0"/>
        </w:numPr>
        <w:spacing w:line="360" w:lineRule="auto"/>
        <w:ind w:firstLine="420" w:firstLineChars="200"/>
        <w:rPr>
          <w:rFonts w:hint="default"/>
          <w:u w:val="single"/>
          <w:lang w:val="en-US"/>
        </w:rPr>
      </w:pPr>
      <w:r>
        <w:rPr>
          <w:rFonts w:hint="eastAsia" w:ascii="Times New Roman" w:hAnsi="Times New Roman" w:cs="Times New Roman"/>
          <w:szCs w:val="15"/>
          <w:lang w:val="en-US" w:eastAsia="zh-CN"/>
        </w:rPr>
        <w:t>联系电话：</w:t>
      </w:r>
      <w:r>
        <w:rPr>
          <w:rFonts w:hint="eastAsia" w:ascii="Times New Roman" w:hAnsi="Times New Roman" w:cs="Times New Roman"/>
          <w:szCs w:val="15"/>
          <w:u w:val="single"/>
          <w:lang w:val="en-US" w:eastAsia="zh-CN"/>
        </w:rPr>
        <w:t>0551-63530221 / 18895679746</w:t>
      </w:r>
    </w:p>
    <w:p w14:paraId="5EB127B7">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b/>
          <w:szCs w:val="15"/>
        </w:rPr>
      </w:pPr>
      <w:r>
        <w:rPr>
          <w:rFonts w:hint="eastAsia" w:ascii="Times New Roman" w:hAnsi="Times New Roman" w:cs="Times New Roman"/>
          <w:szCs w:val="15"/>
          <w:lang w:val="en-US" w:eastAsia="zh-CN"/>
        </w:rPr>
        <w:t>3</w:t>
      </w:r>
      <w:r>
        <w:rPr>
          <w:rFonts w:ascii="Times New Roman" w:hAnsi="Times New Roman" w:cs="Times New Roman" w:eastAsiaTheme="minorEastAsia"/>
          <w:b/>
          <w:szCs w:val="15"/>
        </w:rPr>
        <w:t>.</w:t>
      </w:r>
      <w:r>
        <w:rPr>
          <w:rFonts w:ascii="Times New Roman" w:hAnsi="Times New Roman" w:cs="Times New Roman" w:eastAsiaTheme="minorEastAsia"/>
          <w:szCs w:val="15"/>
        </w:rPr>
        <w:t>监督管理部门</w:t>
      </w:r>
    </w:p>
    <w:p w14:paraId="5A974B2E">
      <w:pPr>
        <w:pageBreakBefore w:val="0"/>
        <w:widowControl/>
        <w:kinsoku/>
        <w:overflowPunct/>
        <w:topLinePunct w:val="0"/>
        <w:bidi w:val="0"/>
        <w:snapToGrid/>
        <w:spacing w:line="500" w:lineRule="exact"/>
        <w:ind w:firstLine="420" w:firstLineChars="200"/>
        <w:jc w:val="left"/>
        <w:textAlignment w:val="auto"/>
        <w:rPr>
          <w:rFonts w:hint="eastAsia" w:ascii="Times New Roman" w:hAnsi="Times New Roman" w:cs="Times New Roman"/>
          <w:szCs w:val="21"/>
          <w:u w:val="single"/>
        </w:rPr>
      </w:pPr>
      <w:r>
        <w:rPr>
          <w:rFonts w:ascii="Times New Roman" w:hAnsi="Times New Roman" w:eastAsia="宋体" w:cs="Times New Roman"/>
          <w:bCs/>
          <w:snapToGrid w:val="0"/>
          <w:kern w:val="0"/>
          <w:szCs w:val="21"/>
        </w:rPr>
        <w:t>监督管理部门：</w:t>
      </w:r>
      <w:r>
        <w:rPr>
          <w:rFonts w:hint="eastAsia" w:ascii="Times New Roman" w:hAnsi="Times New Roman" w:cs="Times New Roman"/>
          <w:szCs w:val="21"/>
          <w:u w:val="single"/>
        </w:rPr>
        <w:t>合肥经纬资产经营管理有限公司党支部纪检委员</w:t>
      </w:r>
    </w:p>
    <w:p w14:paraId="3B849181">
      <w:pPr>
        <w:widowControl/>
        <w:spacing w:line="500" w:lineRule="exact"/>
        <w:ind w:firstLine="420" w:firstLineChars="200"/>
        <w:jc w:val="left"/>
        <w:rPr>
          <w:rFonts w:hint="eastAsia" w:ascii="宋体" w:hAnsi="宋体" w:cs="宋体"/>
          <w:kern w:val="0"/>
          <w:szCs w:val="21"/>
          <w:u w:val="single"/>
        </w:rPr>
      </w:pPr>
      <w:r>
        <w:rPr>
          <w:rFonts w:ascii="Times New Roman" w:hAnsi="Times New Roman" w:eastAsia="宋体" w:cs="Times New Roman"/>
          <w:bCs/>
          <w:snapToGrid w:val="0"/>
          <w:kern w:val="0"/>
          <w:szCs w:val="21"/>
        </w:rPr>
        <w:t>地  址：</w:t>
      </w:r>
      <w:r>
        <w:rPr>
          <w:rFonts w:hint="eastAsia" w:ascii="宋体" w:hAnsi="宋体" w:cs="宋体"/>
          <w:kern w:val="0"/>
          <w:szCs w:val="21"/>
          <w:u w:val="single"/>
        </w:rPr>
        <w:t>合肥市汤池路与茗香路交口文渊府老售楼部</w:t>
      </w:r>
    </w:p>
    <w:p w14:paraId="6A079055">
      <w:pPr>
        <w:widowControl/>
        <w:spacing w:line="500" w:lineRule="exact"/>
        <w:ind w:firstLine="420" w:firstLineChars="200"/>
        <w:jc w:val="left"/>
        <w:rPr>
          <w:rFonts w:hint="default" w:ascii="Times New Roman" w:hAnsi="Times New Roman" w:cs="Times New Roman" w:eastAsiaTheme="minorEastAsia"/>
          <w:bCs/>
          <w:snapToGrid w:val="0"/>
          <w:kern w:val="0"/>
          <w:szCs w:val="21"/>
          <w:lang w:val="en-US" w:eastAsia="zh-CN"/>
        </w:rPr>
      </w:pPr>
      <w:r>
        <w:rPr>
          <w:rFonts w:hint="eastAsia" w:ascii="Times New Roman" w:hAnsi="Times New Roman" w:eastAsia="宋体" w:cs="Times New Roman"/>
          <w:bCs/>
          <w:snapToGrid w:val="0"/>
          <w:kern w:val="0"/>
          <w:szCs w:val="21"/>
        </w:rPr>
        <w:t>电</w:t>
      </w:r>
      <w:r>
        <w:rPr>
          <w:rFonts w:ascii="Times New Roman" w:hAnsi="Times New Roman" w:eastAsia="宋体" w:cs="Times New Roman"/>
          <w:bCs/>
          <w:snapToGrid w:val="0"/>
          <w:kern w:val="0"/>
          <w:szCs w:val="21"/>
        </w:rPr>
        <w:t xml:space="preserve">  </w:t>
      </w:r>
      <w:r>
        <w:rPr>
          <w:rFonts w:hint="eastAsia" w:ascii="Times New Roman" w:hAnsi="Times New Roman" w:eastAsia="宋体" w:cs="Times New Roman"/>
          <w:bCs/>
          <w:snapToGrid w:val="0"/>
          <w:kern w:val="0"/>
          <w:szCs w:val="21"/>
        </w:rPr>
        <w:t>话：</w:t>
      </w:r>
      <w:r>
        <w:rPr>
          <w:rFonts w:ascii="Times New Roman" w:hAnsi="Times New Roman" w:cs="Times New Roman"/>
          <w:szCs w:val="15"/>
          <w:u w:val="single"/>
        </w:rPr>
        <w:t xml:space="preserve"> </w:t>
      </w:r>
      <w:r>
        <w:rPr>
          <w:rFonts w:hint="eastAsia" w:ascii="宋体" w:hAnsi="宋体" w:eastAsia="宋体" w:cs="Times New Roman"/>
          <w:bCs/>
          <w:szCs w:val="21"/>
          <w:u w:val="single"/>
          <w:lang w:bidi="ar"/>
        </w:rPr>
        <w:t>0551-6353</w:t>
      </w:r>
      <w:r>
        <w:rPr>
          <w:rFonts w:hint="eastAsia" w:ascii="宋体" w:hAnsi="宋体" w:eastAsia="宋体" w:cs="Times New Roman"/>
          <w:bCs/>
          <w:szCs w:val="21"/>
          <w:u w:val="single"/>
          <w:lang w:val="en-US" w:eastAsia="zh-CN" w:bidi="ar"/>
        </w:rPr>
        <w:t>9860</w:t>
      </w:r>
    </w:p>
    <w:p w14:paraId="0FCC8F9E">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七</w:t>
      </w:r>
      <w:r>
        <w:rPr>
          <w:rFonts w:ascii="Times New Roman" w:hAnsi="Times New Roman" w:cs="Times New Roman" w:eastAsiaTheme="minorEastAsia"/>
          <w:b/>
          <w:sz w:val="24"/>
        </w:rPr>
        <w:t>、</w:t>
      </w:r>
      <w:r>
        <w:rPr>
          <w:rFonts w:ascii="Times New Roman" w:hAnsi="Times New Roman" w:cs="Times New Roman" w:eastAsiaTheme="minorEastAsia"/>
          <w:b/>
          <w:sz w:val="24"/>
          <w:szCs w:val="18"/>
        </w:rPr>
        <w:t>其他事项说明</w:t>
      </w:r>
    </w:p>
    <w:p w14:paraId="22F209E9">
      <w:pPr>
        <w:pageBreakBefore w:val="0"/>
        <w:widowControl/>
        <w:kinsoku/>
        <w:overflowPunct/>
        <w:topLinePunct w:val="0"/>
        <w:bidi w:val="0"/>
        <w:snapToGrid/>
        <w:spacing w:line="500" w:lineRule="exact"/>
        <w:ind w:firstLine="420" w:firstLineChars="200"/>
        <w:jc w:val="left"/>
        <w:textAlignment w:val="auto"/>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w:t>
      </w:r>
      <w:r>
        <w:rPr>
          <w:rFonts w:hint="eastAsia" w:ascii="Times New Roman" w:hAnsi="Times New Roman" w:eastAsia="宋体" w:cs="Times New Roman"/>
          <w:bCs/>
          <w:snapToGrid w:val="0"/>
          <w:kern w:val="0"/>
          <w:szCs w:val="21"/>
        </w:rPr>
        <w:t>周一至周五，上午08:30-12:00，下午2:00-5:30，节假日休息</w:t>
      </w:r>
      <w:r>
        <w:rPr>
          <w:rFonts w:ascii="Times New Roman" w:hAnsi="Times New Roman" w:eastAsia="宋体" w:cs="Times New Roman"/>
          <w:bCs/>
          <w:snapToGrid w:val="0"/>
          <w:kern w:val="0"/>
          <w:szCs w:val="21"/>
        </w:rPr>
        <w:t>）与项目联系人联系。</w:t>
      </w:r>
    </w:p>
    <w:p w14:paraId="7C471C84">
      <w:pPr>
        <w:widowControl/>
        <w:spacing w:line="500" w:lineRule="exact"/>
        <w:ind w:firstLine="420" w:firstLineChars="200"/>
        <w:jc w:val="left"/>
        <w:rPr>
          <w:rFonts w:ascii="Times New Roman" w:hAnsi="Times New Roman" w:cs="Times New Roman"/>
          <w:bCs/>
          <w:snapToGrid w:val="0"/>
          <w:sz w:val="21"/>
          <w:szCs w:val="21"/>
        </w:rPr>
      </w:pPr>
    </w:p>
    <w:p w14:paraId="04B79E5E">
      <w:pPr>
        <w:pStyle w:val="4"/>
      </w:pPr>
    </w:p>
    <w:p w14:paraId="7DC50CC4">
      <w:pPr>
        <w:pageBreakBefore w:val="0"/>
        <w:kinsoku/>
        <w:overflowPunct/>
        <w:topLinePunct w:val="0"/>
        <w:bidi w:val="0"/>
        <w:snapToGrid/>
        <w:spacing w:line="360" w:lineRule="auto"/>
        <w:ind w:firstLine="480" w:firstLineChars="200"/>
        <w:textAlignment w:val="auto"/>
        <w:rPr>
          <w:rFonts w:ascii="Times New Roman" w:hAnsi="Times New Roman" w:cs="Times New Roman" w:eastAsiaTheme="minorEastAsia"/>
          <w:sz w:val="24"/>
          <w:szCs w:val="18"/>
        </w:rPr>
      </w:pPr>
    </w:p>
    <w:p w14:paraId="03AC0E54">
      <w:pPr>
        <w:pageBreakBefore w:val="0"/>
        <w:widowControl/>
        <w:kinsoku/>
        <w:overflowPunct/>
        <w:topLinePunct w:val="0"/>
        <w:bidi w:val="0"/>
        <w:snapToGrid/>
        <w:ind w:firstLine="480" w:firstLineChars="200"/>
        <w:jc w:val="left"/>
        <w:textAlignment w:val="auto"/>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14:paraId="20DD4BAF">
      <w:pPr>
        <w:spacing w:line="360" w:lineRule="auto"/>
        <w:jc w:val="center"/>
        <w:outlineLvl w:val="1"/>
        <w:rPr>
          <w:rFonts w:ascii="Times New Roman" w:hAnsi="Times New Roman" w:cs="Times New Roman" w:eastAsiaTheme="minorEastAsia"/>
          <w:b/>
          <w:sz w:val="28"/>
        </w:rPr>
      </w:pPr>
      <w:bookmarkStart w:id="2" w:name="_Toc22742"/>
      <w:r>
        <w:rPr>
          <w:rFonts w:ascii="Times New Roman" w:hAnsi="Times New Roman" w:cs="Times New Roman" w:eastAsiaTheme="minorEastAsia"/>
          <w:b/>
          <w:sz w:val="28"/>
        </w:rPr>
        <w:t>第二章  投标人须知</w:t>
      </w:r>
      <w:bookmarkEnd w:id="2"/>
    </w:p>
    <w:p w14:paraId="27CD7152">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1"/>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928"/>
        <w:gridCol w:w="5798"/>
      </w:tblGrid>
      <w:tr w14:paraId="669D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5DF05AF">
            <w:pPr>
              <w:pStyle w:val="29"/>
              <w:widowControl w:val="0"/>
              <w:spacing w:before="0" w:beforeAutospacing="0" w:after="0" w:afterAutospacing="0"/>
              <w:jc w:val="center"/>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114" w:type="pct"/>
            <w:vAlign w:val="center"/>
          </w:tcPr>
          <w:p w14:paraId="4A41F0C5">
            <w:pPr>
              <w:pStyle w:val="29"/>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3350" w:type="pct"/>
            <w:vAlign w:val="center"/>
          </w:tcPr>
          <w:p w14:paraId="5A794CBF">
            <w:pPr>
              <w:pStyle w:val="29"/>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14:paraId="5DED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E783A03">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114" w:type="pct"/>
            <w:vAlign w:val="center"/>
          </w:tcPr>
          <w:p w14:paraId="0C6699BD">
            <w:pPr>
              <w:pStyle w:val="29"/>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b w:val="0"/>
                <w:sz w:val="21"/>
                <w:szCs w:val="21"/>
                <w:u w:val="none"/>
                <w:lang w:val="en-US" w:eastAsia="zh-CN"/>
              </w:rPr>
              <w:t>询比</w:t>
            </w:r>
            <w:r>
              <w:rPr>
                <w:rFonts w:hint="eastAsia" w:ascii="Times New Roman" w:hAnsi="Times New Roman" w:cs="Times New Roman" w:eastAsiaTheme="minorEastAsia"/>
                <w:b w:val="0"/>
                <w:sz w:val="21"/>
                <w:szCs w:val="21"/>
                <w:u w:val="none"/>
                <w:lang w:val="en-US" w:eastAsia="zh-CN"/>
              </w:rPr>
              <w:t>时间</w:t>
            </w:r>
          </w:p>
        </w:tc>
        <w:tc>
          <w:tcPr>
            <w:tcW w:w="3350" w:type="pct"/>
            <w:vAlign w:val="center"/>
          </w:tcPr>
          <w:p w14:paraId="4B7F251C">
            <w:pPr>
              <w:pStyle w:val="29"/>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见询比公告</w:t>
            </w:r>
          </w:p>
        </w:tc>
      </w:tr>
      <w:tr w14:paraId="47BF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1A95A32">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114" w:type="pct"/>
            <w:vAlign w:val="center"/>
          </w:tcPr>
          <w:p w14:paraId="4AF1EF3A">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hint="eastAsia" w:ascii="Times New Roman" w:hAnsi="Times New Roman" w:cs="Times New Roman"/>
                <w:b w:val="0"/>
                <w:sz w:val="21"/>
                <w:szCs w:val="21"/>
                <w:highlight w:val="none"/>
                <w:lang w:eastAsia="zh-CN"/>
              </w:rPr>
              <w:t>询比</w:t>
            </w:r>
            <w:r>
              <w:rPr>
                <w:rFonts w:ascii="Times New Roman" w:hAnsi="Times New Roman" w:cs="Times New Roman" w:eastAsiaTheme="minorEastAsia"/>
                <w:b w:val="0"/>
                <w:sz w:val="21"/>
                <w:szCs w:val="21"/>
                <w:highlight w:val="none"/>
              </w:rPr>
              <w:t>有效期</w:t>
            </w:r>
          </w:p>
        </w:tc>
        <w:tc>
          <w:tcPr>
            <w:tcW w:w="3350" w:type="pct"/>
            <w:vAlign w:val="center"/>
          </w:tcPr>
          <w:p w14:paraId="2F97EE80">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14:paraId="5B3C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7D8CEB9">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114" w:type="pct"/>
            <w:vAlign w:val="center"/>
          </w:tcPr>
          <w:p w14:paraId="7CA85527">
            <w:pPr>
              <w:spacing w:line="500" w:lineRule="exact"/>
              <w:jc w:val="center"/>
              <w:rPr>
                <w:rFonts w:ascii="Times New Roman" w:hAnsi="Times New Roman" w:cs="Times New Roman" w:eastAsiaTheme="minorEastAsia"/>
                <w:b w:val="0"/>
                <w:sz w:val="21"/>
                <w:szCs w:val="21"/>
              </w:rPr>
            </w:pPr>
            <w:r>
              <w:rPr>
                <w:rFonts w:hint="eastAsia" w:ascii="Times New Roman" w:hAnsi="Times New Roman"/>
                <w:color w:val="000000"/>
                <w:lang w:val="en-US" w:eastAsia="zh-CN"/>
              </w:rPr>
              <w:t>投标文件的递交</w:t>
            </w:r>
          </w:p>
        </w:tc>
        <w:tc>
          <w:tcPr>
            <w:tcW w:w="3350" w:type="pct"/>
            <w:vAlign w:val="center"/>
          </w:tcPr>
          <w:p w14:paraId="04889C32">
            <w:pPr>
              <w:pStyle w:val="3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2ABF6F7A">
            <w:pPr>
              <w:pStyle w:val="3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w:t>
            </w:r>
            <w:r>
              <w:rPr>
                <w:rFonts w:hint="eastAsia" w:ascii="Times New Roman" w:hAnsi="Times New Roman" w:eastAsia="宋体" w:cs="Times New Roman"/>
                <w:snapToGrid w:val="0"/>
                <w:color w:val="000000"/>
                <w:kern w:val="0"/>
                <w:sz w:val="21"/>
                <w:szCs w:val="21"/>
                <w:shd w:val="clear" w:color="auto" w:fill="FFFFFF"/>
                <w:lang w:val="en-US" w:eastAsia="zh-CN" w:bidi="ar-SA"/>
              </w:rPr>
              <w:t>本</w:t>
            </w:r>
            <w:r>
              <w:rPr>
                <w:rFonts w:ascii="Times New Roman" w:hAnsi="Times New Roman" w:eastAsia="宋体" w:cs="Times New Roman"/>
                <w:snapToGrid w:val="0"/>
                <w:color w:val="000000"/>
                <w:kern w:val="0"/>
                <w:sz w:val="21"/>
                <w:szCs w:val="21"/>
                <w:shd w:val="clear" w:color="auto" w:fill="FFFFFF"/>
                <w:lang w:val="en-US" w:eastAsia="zh-CN" w:bidi="ar-SA"/>
              </w:rPr>
              <w:t>一份。</w:t>
            </w:r>
          </w:p>
          <w:p w14:paraId="13188467">
            <w:pPr>
              <w:pStyle w:val="3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22AA2535">
            <w:pPr>
              <w:pStyle w:val="36"/>
              <w:spacing w:line="360" w:lineRule="auto"/>
              <w:ind w:firstLine="0" w:firstLineChars="0"/>
              <w:jc w:val="left"/>
              <w:rPr>
                <w:rFonts w:ascii="Times New Roman" w:hAnsi="Times New Roman" w:cs="Times New Roman" w:eastAsiaTheme="minorEastAsia"/>
                <w:b w:val="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w:t>
            </w:r>
          </w:p>
        </w:tc>
      </w:tr>
      <w:tr w14:paraId="113E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14ECF39">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114" w:type="pct"/>
            <w:vAlign w:val="center"/>
          </w:tcPr>
          <w:p w14:paraId="7A9638B1">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3350" w:type="pct"/>
            <w:vAlign w:val="center"/>
          </w:tcPr>
          <w:p w14:paraId="2C7B7ADD">
            <w:pPr>
              <w:pStyle w:val="29"/>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14:paraId="5A27C6D2">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14:paraId="3C93A6AF">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14:paraId="4646B528">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14:paraId="4155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9D65319">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114" w:type="pct"/>
            <w:vAlign w:val="center"/>
          </w:tcPr>
          <w:p w14:paraId="6EE8A0CA">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14:paraId="3739CB1F">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14:paraId="1311D198">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14:paraId="4D70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B201238">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114" w:type="pct"/>
            <w:vAlign w:val="center"/>
          </w:tcPr>
          <w:p w14:paraId="43961CF0">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w:t>
            </w:r>
            <w:r>
              <w:rPr>
                <w:rFonts w:hint="eastAsia" w:ascii="Times New Roman" w:hAnsi="Times New Roman" w:eastAsia="宋体" w:cs="Times New Roman"/>
                <w:b w:val="0"/>
                <w:sz w:val="21"/>
                <w:szCs w:val="21"/>
                <w:lang w:eastAsia="zh-CN"/>
              </w:rPr>
              <w:t>询比</w:t>
            </w:r>
            <w:r>
              <w:rPr>
                <w:rFonts w:ascii="Times New Roman" w:hAnsi="Times New Roman" w:eastAsia="宋体" w:cs="Times New Roman"/>
                <w:b w:val="0"/>
                <w:sz w:val="21"/>
                <w:szCs w:val="21"/>
              </w:rPr>
              <w:t>结果的形式</w:t>
            </w:r>
          </w:p>
        </w:tc>
        <w:tc>
          <w:tcPr>
            <w:tcW w:w="3350" w:type="pct"/>
            <w:vAlign w:val="center"/>
          </w:tcPr>
          <w:p w14:paraId="02826F49">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w:t>
            </w:r>
            <w:r>
              <w:rPr>
                <w:rFonts w:hint="eastAsia" w:ascii="Times New Roman" w:hAnsi="Times New Roman" w:eastAsia="宋体" w:cs="Times New Roman"/>
                <w:b w:val="0"/>
                <w:bCs w:val="0"/>
                <w:sz w:val="21"/>
                <w:szCs w:val="21"/>
                <w:lang w:val="en-US" w:eastAsia="zh-CN"/>
              </w:rPr>
              <w:t>官网</w:t>
            </w:r>
            <w:r>
              <w:rPr>
                <w:rFonts w:ascii="Times New Roman" w:hAnsi="Times New Roman" w:eastAsia="宋体" w:cs="Times New Roman"/>
                <w:b w:val="0"/>
                <w:bCs w:val="0"/>
                <w:sz w:val="21"/>
                <w:szCs w:val="21"/>
              </w:rPr>
              <w:t>查看</w:t>
            </w:r>
          </w:p>
          <w:p w14:paraId="513A5C66">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14:paraId="55BD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00FC14FA">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114" w:type="pct"/>
            <w:vAlign w:val="center"/>
          </w:tcPr>
          <w:p w14:paraId="5E061806">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3350" w:type="pct"/>
          </w:tcPr>
          <w:p w14:paraId="1A889F37">
            <w:pPr>
              <w:numPr>
                <w:ilvl w:val="0"/>
                <w:numId w:val="2"/>
              </w:num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金额：</w:t>
            </w:r>
          </w:p>
          <w:p w14:paraId="4646C2EF">
            <w:pPr>
              <w:numPr>
                <w:ilvl w:val="0"/>
                <w:numId w:val="2"/>
              </w:numPr>
              <w:spacing w:line="360" w:lineRule="auto"/>
              <w:rPr>
                <w:rFonts w:ascii="Times New Roman" w:hAnsi="Times New Roman" w:eastAsia="宋体" w:cs="Times New Roman"/>
                <w:bCs/>
                <w:kern w:val="0"/>
                <w:szCs w:val="21"/>
              </w:rPr>
            </w:pPr>
            <w:r>
              <w:rPr>
                <w:rFonts w:hint="eastAsia" w:ascii="Times New Roman" w:hAnsi="Times New Roman" w:eastAsia="宋体" w:cs="Times New Roman"/>
                <w:bCs/>
                <w:kern w:val="0"/>
                <w:szCs w:val="21"/>
                <w:lang w:eastAsia="zh-CN"/>
              </w:rPr>
              <w:t>☑</w:t>
            </w:r>
            <w:r>
              <w:rPr>
                <w:rFonts w:ascii="Times New Roman" w:hAnsi="Times New Roman" w:eastAsia="宋体" w:cs="Times New Roman"/>
                <w:bCs/>
                <w:kern w:val="0"/>
                <w:szCs w:val="21"/>
              </w:rPr>
              <w:t>免收</w:t>
            </w:r>
          </w:p>
          <w:p w14:paraId="78D85640">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14:paraId="576598EB">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14:paraId="629681AD">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14:paraId="6FF6FBE9">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14:paraId="49117CEC">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14:paraId="0F4B7462">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14:paraId="634E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038B39B">
            <w:pPr>
              <w:pStyle w:val="29"/>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114" w:type="pct"/>
            <w:vAlign w:val="center"/>
          </w:tcPr>
          <w:p w14:paraId="6D779043">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3350" w:type="pct"/>
            <w:vAlign w:val="center"/>
          </w:tcPr>
          <w:p w14:paraId="087123BD">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rPr>
              <w:t>但不限于</w:t>
            </w:r>
            <w:r>
              <w:rPr>
                <w:rFonts w:ascii="Times New Roman" w:hAnsi="Times New Roman" w:eastAsia="宋体" w:cs="Times New Roman"/>
                <w:szCs w:val="21"/>
              </w:rPr>
              <w:t>所投服务的</w:t>
            </w:r>
            <w:r>
              <w:rPr>
                <w:rFonts w:hint="eastAsia" w:ascii="Times New Roman" w:hAnsi="Times New Roman" w:eastAsia="宋体" w:cs="Times New Roman"/>
                <w:szCs w:val="21"/>
              </w:rPr>
              <w:t>人工费、运输费、勘察费、机械费、保险费、福利费、审计费、利润、税金</w:t>
            </w:r>
            <w:r>
              <w:rPr>
                <w:rFonts w:hint="eastAsia" w:asciiTheme="minorEastAsia" w:hAnsiTheme="minorEastAsia" w:cstheme="minorEastAsia"/>
                <w:spacing w:val="6"/>
                <w:szCs w:val="21"/>
              </w:rPr>
              <w:t>及完成项目应有的全部费用</w:t>
            </w:r>
            <w:r>
              <w:rPr>
                <w:rFonts w:ascii="Times New Roman" w:hAnsi="Times New Roman" w:eastAsia="宋体" w:cs="Times New Roman"/>
                <w:szCs w:val="21"/>
              </w:rPr>
              <w:t>。</w:t>
            </w:r>
          </w:p>
          <w:p w14:paraId="11F36737">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w:t>
            </w:r>
            <w:r>
              <w:rPr>
                <w:rFonts w:hint="eastAsia" w:ascii="Times New Roman" w:hAnsi="Times New Roman" w:eastAsia="宋体" w:cs="Times New Roman"/>
                <w:szCs w:val="21"/>
                <w:lang w:val="en-US" w:eastAsia="zh-CN"/>
              </w:rPr>
              <w:t>比</w:t>
            </w:r>
            <w:r>
              <w:rPr>
                <w:rFonts w:ascii="Times New Roman" w:hAnsi="Times New Roman" w:eastAsia="宋体" w:cs="Times New Roman"/>
                <w:szCs w:val="21"/>
              </w:rPr>
              <w:t>文件（公告）列明的项目预算、最高投标限价，否则其投标文件将被否决。</w:t>
            </w:r>
          </w:p>
          <w:p w14:paraId="2DBFE538">
            <w:pPr>
              <w:spacing w:line="360" w:lineRule="auto"/>
              <w:rPr>
                <w:rFonts w:ascii="Times New Roman" w:hAnsi="Times New Roman" w:cs="Times New Roman" w:eastAsiaTheme="minorEastAsia"/>
                <w:szCs w:val="21"/>
              </w:rPr>
            </w:pPr>
            <w:r>
              <w:rPr>
                <w:rFonts w:ascii="Times New Roman" w:hAnsi="Times New Roman" w:eastAsia="宋体" w:cs="Times New Roman"/>
                <w:b w:val="0"/>
                <w:sz w:val="21"/>
                <w:szCs w:val="21"/>
              </w:rPr>
              <w:t>（3）在项目过程中，投标人最终投标报价与公布的最高投标限价或项目预算相比降幅过小，或投标人最终投标报价明显缺乏竞争性的，评审小组可以否决其投标。</w:t>
            </w:r>
          </w:p>
        </w:tc>
      </w:tr>
      <w:tr w14:paraId="44A9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5FB75A8">
            <w:pPr>
              <w:pStyle w:val="29"/>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9</w:t>
            </w:r>
          </w:p>
        </w:tc>
        <w:tc>
          <w:tcPr>
            <w:tcW w:w="1114" w:type="pct"/>
            <w:vAlign w:val="center"/>
          </w:tcPr>
          <w:p w14:paraId="2E76F049">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14:paraId="5715A246">
            <w:pPr>
              <w:spacing w:line="360" w:lineRule="auto"/>
              <w:rPr>
                <w:rFonts w:ascii="Times New Roman" w:hAnsi="Times New Roman" w:eastAsia="宋体" w:cs="Times New Roman"/>
                <w:szCs w:val="21"/>
              </w:rPr>
            </w:pPr>
            <w:r>
              <w:rPr>
                <w:rFonts w:ascii="Times New Roman" w:hAnsi="Times New Roman" w:eastAsia="宋体" w:cs="Times New Roman"/>
                <w:szCs w:val="21"/>
              </w:rPr>
              <w:t>本项目是否要求便利化服务能力：</w:t>
            </w:r>
          </w:p>
          <w:p w14:paraId="68B413AB">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□要求  </w:t>
            </w:r>
            <w:r>
              <w:rPr>
                <w:rFonts w:hint="eastAsia" w:ascii="Times New Roman" w:hAnsi="Times New Roman" w:eastAsia="宋体" w:cs="Times New Roman"/>
                <w:szCs w:val="21"/>
                <w:lang w:eastAsia="zh-CN"/>
              </w:rPr>
              <w:t>☑</w:t>
            </w:r>
            <w:r>
              <w:rPr>
                <w:rFonts w:ascii="Times New Roman" w:hAnsi="Times New Roman" w:eastAsia="宋体" w:cs="Times New Roman"/>
                <w:szCs w:val="21"/>
              </w:rPr>
              <w:t>不要求</w:t>
            </w:r>
          </w:p>
          <w:p w14:paraId="71888D8B">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14:paraId="00F51E83">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14:paraId="7B719489">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14:paraId="41B238F2">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14:paraId="77A75A2E">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14:paraId="3900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14EF72E3">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10</w:t>
            </w:r>
          </w:p>
        </w:tc>
        <w:tc>
          <w:tcPr>
            <w:tcW w:w="1114" w:type="pct"/>
            <w:vAlign w:val="center"/>
          </w:tcPr>
          <w:p w14:paraId="0F2F25DC">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w:t>
            </w:r>
            <w:r>
              <w:rPr>
                <w:rFonts w:hint="eastAsia" w:ascii="Times New Roman" w:hAnsi="Times New Roman" w:cs="Times New Roman"/>
                <w:b w:val="0"/>
                <w:sz w:val="21"/>
                <w:szCs w:val="21"/>
                <w:lang w:eastAsia="zh-CN"/>
              </w:rPr>
              <w:t>询比</w:t>
            </w:r>
            <w:r>
              <w:rPr>
                <w:rFonts w:ascii="Times New Roman" w:hAnsi="Times New Roman" w:cs="Times New Roman" w:eastAsiaTheme="minorEastAsia"/>
                <w:b w:val="0"/>
                <w:sz w:val="21"/>
                <w:szCs w:val="21"/>
              </w:rPr>
              <w:t>文件以外的其他资料</w:t>
            </w:r>
          </w:p>
        </w:tc>
        <w:tc>
          <w:tcPr>
            <w:tcW w:w="3350" w:type="pct"/>
            <w:vAlign w:val="center"/>
          </w:tcPr>
          <w:p w14:paraId="594F04B7">
            <w:pPr>
              <w:spacing w:line="360" w:lineRule="auto"/>
              <w:rPr>
                <w:rFonts w:ascii="Times New Roman" w:hAnsi="Times New Roman" w:cs="Times New Roman" w:eastAsiaTheme="minorEastAsia"/>
                <w:szCs w:val="21"/>
                <w:u w:val="single"/>
              </w:rPr>
            </w:pPr>
            <w:r>
              <w:rPr>
                <w:rFonts w:hint="eastAsia" w:ascii="Times New Roman" w:hAnsi="Times New Roman" w:cs="Times New Roman"/>
                <w:bCs/>
                <w:szCs w:val="21"/>
                <w:lang w:eastAsia="zh-CN"/>
              </w:rPr>
              <w:t>☑</w:t>
            </w:r>
            <w:r>
              <w:rPr>
                <w:rFonts w:ascii="Times New Roman" w:hAnsi="Times New Roman" w:cs="Times New Roman" w:eastAsiaTheme="minorEastAsia"/>
                <w:szCs w:val="21"/>
              </w:rPr>
              <w:t>无   □</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14:paraId="61412674">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14:paraId="0C236C75">
            <w:pPr>
              <w:pStyle w:val="29"/>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上述资料请投标人在合肥文旅博览集团有限公司</w:t>
            </w:r>
            <w:r>
              <w:rPr>
                <w:rFonts w:hint="eastAsia" w:ascii="Times New Roman" w:hAnsi="Times New Roman" w:cs="Times New Roman"/>
                <w:sz w:val="21"/>
                <w:szCs w:val="21"/>
                <w:lang w:val="en-US" w:eastAsia="zh-CN"/>
              </w:rPr>
              <w:t>官网</w:t>
            </w:r>
            <w:r>
              <w:rPr>
                <w:rFonts w:ascii="Times New Roman" w:hAnsi="Times New Roman" w:cs="Times New Roman" w:eastAsiaTheme="minorEastAsia"/>
                <w:sz w:val="21"/>
                <w:szCs w:val="21"/>
              </w:rPr>
              <w:t>自行下载本项目附件。</w:t>
            </w:r>
          </w:p>
        </w:tc>
      </w:tr>
      <w:tr w14:paraId="67F1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EE6CE6C">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11</w:t>
            </w:r>
          </w:p>
        </w:tc>
        <w:tc>
          <w:tcPr>
            <w:tcW w:w="1114" w:type="pct"/>
            <w:vAlign w:val="center"/>
          </w:tcPr>
          <w:p w14:paraId="6D2D2325">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3350" w:type="pct"/>
            <w:vAlign w:val="center"/>
          </w:tcPr>
          <w:p w14:paraId="72E6C4D5">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14:paraId="2F6FF722">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14:paraId="799304AD">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14:paraId="6984BD69">
            <w:pPr>
              <w:pStyle w:val="4"/>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提供虚假材料（包括但不限于虚假技术参数响应、虚假业绩、虚假证书、虚假检测报告等）、串通、隐瞒失信信息等谋取中标的行为，一经发现，招标人可以取消其中标资格或解除合同，并追究其违约责任。</w:t>
            </w:r>
          </w:p>
        </w:tc>
      </w:tr>
      <w:tr w14:paraId="487E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045C83F2">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12</w:t>
            </w:r>
          </w:p>
        </w:tc>
        <w:tc>
          <w:tcPr>
            <w:tcW w:w="1114" w:type="pct"/>
            <w:vAlign w:val="center"/>
          </w:tcPr>
          <w:p w14:paraId="48C98596">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3350" w:type="pct"/>
            <w:vAlign w:val="center"/>
          </w:tcPr>
          <w:p w14:paraId="7F880F99">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文件的各个组成文件应互为解释，互为说明；</w:t>
            </w:r>
          </w:p>
          <w:p w14:paraId="51600230">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14:paraId="37DF74C9">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14:paraId="1C83F5F3">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文件中有特别规定外，仅适用于</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及投标文件提交阶段的规定，按</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公告、投标人须知前附表、投标人须知正文、评审方法和标准、投标文件格式的先后顺序解释；</w:t>
            </w:r>
          </w:p>
          <w:p w14:paraId="43D2DBBC">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14:paraId="57D03C62">
            <w:pPr>
              <w:pStyle w:val="29"/>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14:paraId="3E7D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211E3E18">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13</w:t>
            </w:r>
          </w:p>
        </w:tc>
        <w:tc>
          <w:tcPr>
            <w:tcW w:w="1114" w:type="pct"/>
            <w:vAlign w:val="center"/>
          </w:tcPr>
          <w:p w14:paraId="71404BD6">
            <w:pPr>
              <w:pStyle w:val="29"/>
              <w:widowControl w:val="0"/>
              <w:spacing w:before="0" w:beforeAutospacing="0" w:after="0" w:afterAutospacing="0" w:line="360" w:lineRule="auto"/>
              <w:jc w:val="left"/>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14:paraId="3E609D51">
            <w:pPr>
              <w:pStyle w:val="29"/>
              <w:widowControl w:val="0"/>
              <w:spacing w:before="0" w:beforeAutospacing="0" w:after="0" w:afterAutospacing="0" w:line="360" w:lineRule="auto"/>
              <w:jc w:val="left"/>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说明</w:t>
            </w:r>
          </w:p>
        </w:tc>
        <w:tc>
          <w:tcPr>
            <w:tcW w:w="3350" w:type="pct"/>
            <w:vAlign w:val="center"/>
          </w:tcPr>
          <w:p w14:paraId="5D0D724D">
            <w:pPr>
              <w:numPr>
                <w:ilvl w:val="0"/>
                <w:numId w:val="0"/>
              </w:numPr>
              <w:spacing w:line="360" w:lineRule="auto"/>
              <w:rPr>
                <w:rFonts w:ascii="Times New Roman" w:hAnsi="Times New Roman" w:cs="Times New Roman"/>
                <w:szCs w:val="21"/>
              </w:rPr>
            </w:pPr>
            <w:r>
              <w:rPr>
                <w:rFonts w:hint="eastAsia" w:cs="宋体"/>
                <w:b w:val="0"/>
                <w:sz w:val="21"/>
                <w:szCs w:val="21"/>
                <w:lang w:eastAsia="zh-CN"/>
              </w:rPr>
              <w:t>……</w:t>
            </w:r>
          </w:p>
        </w:tc>
      </w:tr>
      <w:tr w14:paraId="1364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ECC4E3F">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eastAsia="宋体" w:cs="Times New Roman"/>
                <w:bCs/>
                <w:kern w:val="2"/>
                <w:sz w:val="21"/>
                <w:szCs w:val="21"/>
              </w:rPr>
              <w:t>14</w:t>
            </w:r>
          </w:p>
        </w:tc>
        <w:tc>
          <w:tcPr>
            <w:tcW w:w="1114" w:type="pct"/>
            <w:vAlign w:val="center"/>
          </w:tcPr>
          <w:p w14:paraId="612B23C7">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3350" w:type="pct"/>
            <w:vAlign w:val="center"/>
          </w:tcPr>
          <w:p w14:paraId="1D640F4E">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询比</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r w14:paraId="0E6C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19C3D59">
            <w:pPr>
              <w:pStyle w:val="30"/>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Cs/>
                <w:kern w:val="2"/>
                <w:sz w:val="21"/>
                <w:szCs w:val="21"/>
                <w:lang w:val="en-US" w:eastAsia="zh-CN"/>
              </w:rPr>
            </w:pPr>
            <w:r>
              <w:rPr>
                <w:rFonts w:hint="eastAsia" w:ascii="Times New Roman" w:hAnsi="Times New Roman" w:eastAsia="宋体" w:cs="Times New Roman"/>
                <w:bCs/>
                <w:kern w:val="2"/>
                <w:sz w:val="21"/>
                <w:szCs w:val="21"/>
                <w:lang w:val="en-US" w:eastAsia="zh-CN"/>
              </w:rPr>
              <w:t>15</w:t>
            </w:r>
          </w:p>
        </w:tc>
        <w:tc>
          <w:tcPr>
            <w:tcW w:w="1114" w:type="pct"/>
            <w:shd w:val="clear" w:color="auto" w:fill="auto"/>
            <w:vAlign w:val="center"/>
          </w:tcPr>
          <w:p w14:paraId="73D8A5BA">
            <w:pPr>
              <w:snapToGrid w:val="0"/>
              <w:spacing w:line="500" w:lineRule="exact"/>
              <w:jc w:val="left"/>
              <w:rPr>
                <w:rFonts w:ascii="宋体" w:hAnsi="宋体" w:eastAsia="宋体" w:cstheme="minorBidi"/>
                <w:color w:val="000000"/>
                <w:kern w:val="2"/>
                <w:sz w:val="21"/>
                <w:szCs w:val="24"/>
                <w:highlight w:val="none"/>
                <w:lang w:val="en-US" w:eastAsia="zh-CN" w:bidi="ar-SA"/>
              </w:rPr>
            </w:pPr>
            <w:r>
              <w:rPr>
                <w:color w:val="000000"/>
                <w:highlight w:val="none"/>
              </w:rPr>
              <w:t>投标保证金</w:t>
            </w:r>
          </w:p>
        </w:tc>
        <w:tc>
          <w:tcPr>
            <w:tcW w:w="3350" w:type="pct"/>
            <w:shd w:val="clear" w:color="auto" w:fill="auto"/>
            <w:vAlign w:val="center"/>
          </w:tcPr>
          <w:p w14:paraId="041DC104">
            <w:pPr>
              <w:snapToGrid w:val="0"/>
              <w:spacing w:line="500" w:lineRule="exact"/>
              <w:rPr>
                <w:highlight w:val="none"/>
              </w:rPr>
            </w:pPr>
            <w:r>
              <w:rPr>
                <w:highlight w:val="none"/>
              </w:rPr>
              <w:t>1.是否要求投标人递交投标保证金：</w:t>
            </w:r>
          </w:p>
          <w:p w14:paraId="183BA018">
            <w:pPr>
              <w:snapToGrid w:val="0"/>
              <w:spacing w:line="500" w:lineRule="exact"/>
              <w:rPr>
                <w:highlight w:val="none"/>
              </w:rPr>
            </w:pPr>
            <w:r>
              <w:rPr>
                <w:rFonts w:hint="eastAsia"/>
                <w:highlight w:val="none"/>
                <w:lang w:eastAsia="zh-CN"/>
              </w:rPr>
              <w:t>☑</w:t>
            </w:r>
            <w:r>
              <w:rPr>
                <w:highlight w:val="none"/>
              </w:rPr>
              <w:t xml:space="preserve">不要求  </w:t>
            </w:r>
            <w:r>
              <w:rPr>
                <w:highlight w:val="none"/>
              </w:rPr>
              <w:fldChar w:fldCharType="begin"/>
            </w:r>
            <w:r>
              <w:rPr>
                <w:highlight w:val="none"/>
              </w:rPr>
              <w:instrText xml:space="preserve"> eq \o\ac(□)</w:instrText>
            </w:r>
            <w:r>
              <w:rPr>
                <w:highlight w:val="none"/>
              </w:rPr>
              <w:fldChar w:fldCharType="end"/>
            </w:r>
            <w:r>
              <w:rPr>
                <w:highlight w:val="none"/>
              </w:rPr>
              <w:t>要求</w:t>
            </w:r>
          </w:p>
          <w:p w14:paraId="74BF6A6C">
            <w:pPr>
              <w:snapToGrid w:val="0"/>
              <w:spacing w:line="500" w:lineRule="exact"/>
              <w:rPr>
                <w:highlight w:val="none"/>
              </w:rPr>
            </w:pPr>
            <w:r>
              <w:rPr>
                <w:highlight w:val="none"/>
              </w:rPr>
              <w:t>投标保证金的形式：</w:t>
            </w:r>
          </w:p>
          <w:p w14:paraId="007F291A">
            <w:pPr>
              <w:snapToGrid w:val="0"/>
              <w:spacing w:line="500" w:lineRule="exact"/>
              <w:rPr>
                <w:highlight w:val="none"/>
              </w:rPr>
            </w:pPr>
            <w:r>
              <w:rPr>
                <w:highlight w:val="none"/>
              </w:rPr>
              <w:fldChar w:fldCharType="begin"/>
            </w:r>
            <w:r>
              <w:rPr>
                <w:highlight w:val="none"/>
              </w:rPr>
              <w:instrText xml:space="preserve"> eq \o\ac(□)</w:instrText>
            </w:r>
            <w:r>
              <w:rPr>
                <w:highlight w:val="none"/>
              </w:rPr>
              <w:fldChar w:fldCharType="end"/>
            </w:r>
            <w:r>
              <w:rPr>
                <w:highlight w:val="none"/>
              </w:rPr>
              <w:t xml:space="preserve">银行转账  </w:t>
            </w:r>
            <w:r>
              <w:rPr>
                <w:highlight w:val="none"/>
              </w:rPr>
              <w:fldChar w:fldCharType="begin"/>
            </w:r>
            <w:r>
              <w:rPr>
                <w:highlight w:val="none"/>
              </w:rPr>
              <w:instrText xml:space="preserve"> eq \o\ac(□)</w:instrText>
            </w:r>
            <w:r>
              <w:rPr>
                <w:highlight w:val="none"/>
              </w:rPr>
              <w:fldChar w:fldCharType="end"/>
            </w:r>
            <w:r>
              <w:rPr>
                <w:highlight w:val="none"/>
              </w:rPr>
              <w:t xml:space="preserve">银行电汇  </w:t>
            </w:r>
          </w:p>
          <w:p w14:paraId="781E614A">
            <w:pPr>
              <w:snapToGrid w:val="0"/>
              <w:spacing w:line="500" w:lineRule="exact"/>
              <w:rPr>
                <w:color w:val="auto"/>
                <w:highlight w:val="none"/>
              </w:rPr>
            </w:pPr>
            <w:r>
              <w:rPr>
                <w:highlight w:val="none"/>
              </w:rPr>
              <w:t>投标保证金的金额：</w:t>
            </w:r>
            <w:r>
              <w:rPr>
                <w:i/>
                <w:iCs/>
                <w:color w:val="auto"/>
                <w:highlight w:val="none"/>
              </w:rPr>
              <w:t>人民币</w:t>
            </w:r>
            <w:r>
              <w:rPr>
                <w:i/>
                <w:iCs/>
                <w:color w:val="auto"/>
                <w:highlight w:val="none"/>
                <w:u w:val="single"/>
              </w:rPr>
              <w:t xml:space="preserve">   </w:t>
            </w:r>
            <w:r>
              <w:rPr>
                <w:i/>
                <w:iCs/>
                <w:color w:val="auto"/>
                <w:highlight w:val="none"/>
              </w:rPr>
              <w:t xml:space="preserve"> 万元</w:t>
            </w:r>
          </w:p>
          <w:p w14:paraId="43571252">
            <w:pPr>
              <w:snapToGrid w:val="0"/>
              <w:spacing w:line="500" w:lineRule="exact"/>
              <w:rPr>
                <w:highlight w:val="none"/>
              </w:rPr>
            </w:pPr>
            <w:r>
              <w:rPr>
                <w:highlight w:val="none"/>
              </w:rPr>
              <w:t xml:space="preserve">递交要求： </w:t>
            </w:r>
          </w:p>
          <w:p w14:paraId="77256888">
            <w:pPr>
              <w:snapToGrid w:val="0"/>
              <w:spacing w:line="500" w:lineRule="exact"/>
              <w:rPr>
                <w:highlight w:val="none"/>
              </w:rPr>
            </w:pPr>
            <w:r>
              <w:rPr>
                <w:highlight w:val="none"/>
              </w:rPr>
              <w:t>①投标保证金的到账截止时间：</w:t>
            </w:r>
            <w:r>
              <w:rPr>
                <w:rFonts w:hint="eastAsia"/>
                <w:highlight w:val="none"/>
              </w:rPr>
              <w:t>报名</w:t>
            </w:r>
            <w:r>
              <w:rPr>
                <w:highlight w:val="none"/>
              </w:rPr>
              <w:t>截止时间。</w:t>
            </w:r>
          </w:p>
          <w:p w14:paraId="4619C028">
            <w:pPr>
              <w:snapToGrid w:val="0"/>
              <w:spacing w:line="500" w:lineRule="exact"/>
              <w:rPr>
                <w:highlight w:val="none"/>
              </w:rPr>
            </w:pPr>
            <w:r>
              <w:rPr>
                <w:highlight w:val="none"/>
              </w:rPr>
              <w:t>②投标保证金应当从投标人基本账户转出，转出保证金的账户与投标人投标文件提供的基本账户不一致的，视为未按招标文件规定要求递交投标保证金。</w:t>
            </w:r>
          </w:p>
          <w:p w14:paraId="55824FF8">
            <w:pPr>
              <w:snapToGrid w:val="0"/>
              <w:spacing w:line="500" w:lineRule="exact"/>
              <w:rPr>
                <w:rFonts w:hint="eastAsia" w:ascii="宋体" w:hAnsi="宋体" w:eastAsia="宋体" w:cstheme="minorBidi"/>
                <w:color w:val="000000"/>
                <w:kern w:val="2"/>
                <w:sz w:val="21"/>
                <w:szCs w:val="21"/>
                <w:highlight w:val="none"/>
                <w:lang w:val="en-US" w:eastAsia="zh-CN" w:bidi="ar-SA"/>
              </w:rPr>
            </w:pPr>
            <w:r>
              <w:rPr>
                <w:color w:val="auto"/>
                <w:highlight w:val="none"/>
              </w:rPr>
              <w:t>③转帐时请备注“××项目投标保证金，并将转账凭证扫描件发送至******@qq.com邮箱</w:t>
            </w:r>
            <w:r>
              <w:rPr>
                <w:rFonts w:hint="eastAsia"/>
                <w:color w:val="auto"/>
                <w:highlight w:val="none"/>
              </w:rPr>
              <w:t>。</w:t>
            </w:r>
          </w:p>
        </w:tc>
      </w:tr>
      <w:tr w14:paraId="60D9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161F6DFA">
            <w:pPr>
              <w:pStyle w:val="30"/>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Cs/>
                <w:kern w:val="2"/>
                <w:sz w:val="21"/>
                <w:szCs w:val="21"/>
                <w:lang w:val="en-US" w:eastAsia="zh-CN"/>
              </w:rPr>
            </w:pPr>
            <w:r>
              <w:rPr>
                <w:rFonts w:hint="eastAsia" w:ascii="Times New Roman" w:hAnsi="Times New Roman" w:eastAsia="宋体" w:cs="Times New Roman"/>
                <w:bCs/>
                <w:kern w:val="2"/>
                <w:sz w:val="21"/>
                <w:szCs w:val="21"/>
                <w:lang w:val="en-US" w:eastAsia="zh-CN"/>
              </w:rPr>
              <w:t>16</w:t>
            </w:r>
          </w:p>
        </w:tc>
        <w:tc>
          <w:tcPr>
            <w:tcW w:w="1114" w:type="pct"/>
            <w:shd w:val="clear" w:color="auto" w:fill="auto"/>
            <w:vAlign w:val="center"/>
          </w:tcPr>
          <w:p w14:paraId="54760D7B">
            <w:pPr>
              <w:snapToGrid w:val="0"/>
              <w:spacing w:line="500" w:lineRule="exact"/>
              <w:jc w:val="center"/>
              <w:rPr>
                <w:rFonts w:ascii="宋体" w:hAnsi="宋体" w:eastAsia="宋体" w:cstheme="minorBidi"/>
                <w:color w:val="000000"/>
                <w:kern w:val="2"/>
                <w:sz w:val="21"/>
                <w:szCs w:val="24"/>
                <w:highlight w:val="none"/>
                <w:lang w:val="en-US" w:eastAsia="zh-CN" w:bidi="ar-SA"/>
              </w:rPr>
            </w:pPr>
            <w:r>
              <w:rPr>
                <w:color w:val="000000"/>
                <w:highlight w:val="none"/>
              </w:rPr>
              <w:t>其他不予退还投标保证金的情形</w:t>
            </w:r>
          </w:p>
        </w:tc>
        <w:tc>
          <w:tcPr>
            <w:tcW w:w="3350" w:type="pct"/>
            <w:shd w:val="clear" w:color="auto" w:fill="auto"/>
            <w:vAlign w:val="center"/>
          </w:tcPr>
          <w:p w14:paraId="1DA54DBD">
            <w:pPr>
              <w:snapToGrid w:val="0"/>
              <w:spacing w:line="500" w:lineRule="exact"/>
              <w:rPr>
                <w:rFonts w:hint="eastAsia"/>
                <w:highlight w:val="none"/>
              </w:rPr>
            </w:pPr>
            <w:r>
              <w:rPr>
                <w:rFonts w:hint="eastAsia"/>
                <w:highlight w:val="none"/>
              </w:rPr>
              <w:t>（1）中标人无正当理由放弃中标项目资格的；</w:t>
            </w:r>
          </w:p>
          <w:p w14:paraId="4F0FDC89">
            <w:pPr>
              <w:snapToGrid w:val="0"/>
              <w:spacing w:line="500" w:lineRule="exact"/>
              <w:rPr>
                <w:rFonts w:hint="eastAsia"/>
                <w:highlight w:val="none"/>
              </w:rPr>
            </w:pPr>
            <w:r>
              <w:rPr>
                <w:rFonts w:hint="eastAsia"/>
                <w:highlight w:val="none"/>
              </w:rPr>
              <w:t>（2）中标人在收到中标通知书后，无正当理由不与招标人订立合同，在签订合同时向招标人提出附加条件，或不按照交易文件要求提交履约保证金；</w:t>
            </w:r>
          </w:p>
          <w:p w14:paraId="37CEA99F">
            <w:pPr>
              <w:snapToGrid w:val="0"/>
              <w:spacing w:line="500" w:lineRule="exact"/>
              <w:rPr>
                <w:rFonts w:hint="eastAsia"/>
                <w:highlight w:val="none"/>
              </w:rPr>
            </w:pPr>
            <w:r>
              <w:rPr>
                <w:rFonts w:hint="eastAsia"/>
                <w:highlight w:val="none"/>
              </w:rPr>
              <w:t>（3）投标人存在弄虚作假行为的；</w:t>
            </w:r>
          </w:p>
          <w:p w14:paraId="714AC7A4">
            <w:pPr>
              <w:snapToGrid w:val="0"/>
              <w:spacing w:line="500" w:lineRule="exact"/>
              <w:rPr>
                <w:rFonts w:ascii="宋体" w:hAnsi="宋体" w:eastAsia="宋体" w:cstheme="minorBidi"/>
                <w:color w:val="000000"/>
                <w:kern w:val="2"/>
                <w:sz w:val="21"/>
                <w:szCs w:val="24"/>
                <w:highlight w:val="none"/>
                <w:lang w:val="en-US" w:eastAsia="zh-CN" w:bidi="ar-SA"/>
              </w:rPr>
            </w:pPr>
            <w:r>
              <w:rPr>
                <w:rFonts w:hint="eastAsia"/>
                <w:highlight w:val="none"/>
              </w:rPr>
              <w:t>（4）经监管部门认定投标人存在串通投标情形的。</w:t>
            </w:r>
          </w:p>
        </w:tc>
      </w:tr>
    </w:tbl>
    <w:p w14:paraId="491A7DD0">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14:paraId="059B5453">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14:paraId="09406AE3">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询比</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资产处置</w:t>
      </w:r>
      <w:r>
        <w:rPr>
          <w:rFonts w:ascii="Times New Roman" w:hAnsi="Times New Roman" w:eastAsia="宋体" w:cs="Times New Roman"/>
          <w:szCs w:val="21"/>
        </w:rPr>
        <w:t>。</w:t>
      </w:r>
    </w:p>
    <w:p w14:paraId="418FCED6">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w:t>
      </w:r>
      <w:r>
        <w:rPr>
          <w:rFonts w:hint="eastAsia" w:ascii="Times New Roman" w:hAnsi="Times New Roman" w:cs="Times New Roman"/>
          <w:b/>
          <w:sz w:val="24"/>
          <w:lang w:eastAsia="zh-CN"/>
        </w:rPr>
        <w:t>询比</w:t>
      </w:r>
      <w:r>
        <w:rPr>
          <w:rFonts w:ascii="Times New Roman" w:hAnsi="Times New Roman" w:cs="Times New Roman" w:eastAsiaTheme="minorEastAsia"/>
          <w:b/>
          <w:sz w:val="24"/>
        </w:rPr>
        <w:t>文件的澄清与修改</w:t>
      </w:r>
    </w:p>
    <w:p w14:paraId="2E0AB88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文件内容有疑问，按投标人须知前附表规定提出。</w:t>
      </w:r>
    </w:p>
    <w:p w14:paraId="079916E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w:t>
      </w:r>
      <w:r>
        <w:rPr>
          <w:rFonts w:hint="eastAsia" w:ascii="Times New Roman" w:hAnsi="Times New Roman" w:cs="Times New Roman"/>
          <w:szCs w:val="21"/>
          <w:lang w:val="en-US" w:eastAsia="zh-CN"/>
        </w:rPr>
        <w:t>官网</w:t>
      </w:r>
      <w:r>
        <w:rPr>
          <w:rFonts w:ascii="Times New Roman" w:hAnsi="Times New Roman" w:cs="Times New Roman" w:eastAsiaTheme="minorEastAsia"/>
          <w:szCs w:val="21"/>
        </w:rPr>
        <w:t>澄清或修改</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文件，投标人应主动上网查询。招标人不承担投标人未及时关注相关信息引发的相关责任。</w:t>
      </w:r>
    </w:p>
    <w:p w14:paraId="16953AB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14:paraId="7BF246C3">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文件（含澄清、修改等内容）。</w:t>
      </w:r>
    </w:p>
    <w:p w14:paraId="50B58110">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14:paraId="5ECF5A1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文件中“采购需求”所列的所有内容进行响应，如仅响应所参与包别中的部分内容，其所参与包别的投标文件将被认定为无效投标。</w:t>
      </w:r>
    </w:p>
    <w:p w14:paraId="737DCE8B">
      <w:pPr>
        <w:spacing w:line="360" w:lineRule="auto"/>
        <w:ind w:firstLine="420" w:firstLineChars="200"/>
        <w:rPr>
          <w:rFonts w:ascii="Times New Roman" w:hAnsi="Times New Roman" w:cs="Times New Roman" w:eastAsiaTheme="minorEastAsia"/>
          <w:szCs w:val="21"/>
        </w:rPr>
      </w:pPr>
      <w:bookmarkStart w:id="3" w:name="_Hlk16458980"/>
      <w:r>
        <w:rPr>
          <w:rFonts w:ascii="Times New Roman" w:hAnsi="Times New Roman" w:cs="Times New Roman" w:eastAsiaTheme="minorEastAsia"/>
          <w:szCs w:val="21"/>
        </w:rPr>
        <w:t>3.2无论</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文件中是否要求，投标人所提供的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及伴随的服务和工程均应符合国家强制性标准。</w:t>
      </w:r>
    </w:p>
    <w:bookmarkEnd w:id="3"/>
    <w:p w14:paraId="6186ED7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有关的所有往来通知、函件和投标文件均用中文表述。投标人随投标文件提供的证明文件和资料可以为其它语言，但必须附中文译文。翻译的中文资料与外文资料出现差异时，以中文为准。</w:t>
      </w:r>
    </w:p>
    <w:p w14:paraId="46C3F69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文件中有特殊要求外，投标文件中所使用的计量单位，应采用中华人民共和国法定计量单位。</w:t>
      </w:r>
    </w:p>
    <w:p w14:paraId="5AC432EE">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14:paraId="084E2F4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文件提供的投标文件格式及要求编写投标文件，具体内容详见本项目第六章投标文件格式的相关内容。</w:t>
      </w:r>
    </w:p>
    <w:p w14:paraId="01B1BAE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文件规定的格式填写、签署和盖章。</w:t>
      </w:r>
    </w:p>
    <w:p w14:paraId="6E0A0BD5">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w:t>
      </w:r>
      <w:r>
        <w:rPr>
          <w:rFonts w:hint="eastAsia" w:ascii="Times New Roman" w:hAnsi="Times New Roman" w:cs="Times New Roman"/>
          <w:b/>
          <w:sz w:val="24"/>
          <w:lang w:eastAsia="zh-CN"/>
        </w:rPr>
        <w:t>询比</w:t>
      </w:r>
      <w:r>
        <w:rPr>
          <w:rFonts w:ascii="Times New Roman" w:hAnsi="Times New Roman" w:cs="Times New Roman" w:eastAsiaTheme="minorEastAsia"/>
          <w:b/>
          <w:sz w:val="24"/>
        </w:rPr>
        <w:t>文件规定的技术文件</w:t>
      </w:r>
    </w:p>
    <w:p w14:paraId="0ED2233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14:paraId="4C4E4503">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14:paraId="47AFB320">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w:t>
      </w:r>
      <w:r>
        <w:rPr>
          <w:rFonts w:hint="eastAsia" w:ascii="Times New Roman" w:hAnsi="Times New Roman" w:cs="Times New Roman"/>
          <w:szCs w:val="21"/>
          <w:lang w:eastAsia="zh-CN"/>
        </w:rPr>
        <w:t>询比</w:t>
      </w:r>
      <w:r>
        <w:rPr>
          <w:rFonts w:ascii="Times New Roman" w:hAnsi="Times New Roman" w:cs="Times New Roman" w:eastAsiaTheme="minorEastAsia"/>
          <w:szCs w:val="21"/>
        </w:rPr>
        <w:t>全部招标人要求所应提供的</w:t>
      </w:r>
      <w:r>
        <w:rPr>
          <w:rFonts w:hint="eastAsia" w:ascii="Times New Roman" w:hAnsi="Times New Roman" w:cs="Times New Roman"/>
          <w:szCs w:val="21"/>
          <w:lang w:val="en-US" w:eastAsia="zh-CN"/>
        </w:rPr>
        <w:t>服务</w:t>
      </w:r>
      <w:r>
        <w:rPr>
          <w:rFonts w:ascii="Times New Roman" w:hAnsi="Times New Roman" w:cs="Times New Roman" w:eastAsiaTheme="minorEastAsia"/>
          <w:szCs w:val="21"/>
        </w:rPr>
        <w:t>。</w:t>
      </w:r>
    </w:p>
    <w:p w14:paraId="7265DE04">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文件另有规定或经招标人同意支付的，投标人报价不得高于</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文件规定的预算金额或者分项、分包最高限价，否则其投标文件将被认定为无效投标。</w:t>
      </w:r>
    </w:p>
    <w:p w14:paraId="7CA3B80B">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及相关服务的单价（如适用）和总价。未标明的视同包含在报价中。</w:t>
      </w:r>
    </w:p>
    <w:p w14:paraId="147D2655">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14:paraId="6C308502">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w:t>
      </w:r>
      <w:r>
        <w:rPr>
          <w:rFonts w:hint="eastAsia" w:ascii="Times New Roman" w:hAnsi="Times New Roman" w:cs="Times New Roman"/>
          <w:b/>
          <w:sz w:val="24"/>
          <w:lang w:eastAsia="zh-CN"/>
        </w:rPr>
        <w:t>询比</w:t>
      </w:r>
      <w:r>
        <w:rPr>
          <w:rFonts w:ascii="Times New Roman" w:hAnsi="Times New Roman" w:cs="Times New Roman" w:eastAsiaTheme="minorEastAsia"/>
          <w:b/>
          <w:sz w:val="24"/>
        </w:rPr>
        <w:t>有效期</w:t>
      </w:r>
    </w:p>
    <w:p w14:paraId="2290CEAB">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有效期为从投标文件提交截止之日算起的日历天数，在</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有效期内，投标人的投标文件保持有效，投标人不得要求撤销或修改其投标文件。</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有效期不满足要求的无效投标。</w:t>
      </w:r>
    </w:p>
    <w:p w14:paraId="2D4EF278">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有效期截止之前，要求投标人延长投标文件的有效期。接受该要求的投标人将不会被要求和允许修正其投标文件。投标人也可以拒绝延长</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有效期的要求，且不承担任何责任。上述要求和答复都应以书面形式提交。</w:t>
      </w:r>
    </w:p>
    <w:p w14:paraId="7E77D207">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14:paraId="09108507">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14:paraId="410775D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w:t>
      </w:r>
      <w:r>
        <w:rPr>
          <w:rFonts w:ascii="Times New Roman" w:hAnsi="Times New Roman" w:cs="Times New Roman" w:eastAsiaTheme="minorEastAsia"/>
          <w:b/>
          <w:bCs/>
          <w:szCs w:val="21"/>
        </w:rPr>
        <w:t>正本一份</w:t>
      </w:r>
      <w:r>
        <w:rPr>
          <w:rFonts w:ascii="Times New Roman" w:hAnsi="Times New Roman" w:cs="Times New Roman" w:eastAsiaTheme="minorEastAsia"/>
          <w:szCs w:val="21"/>
        </w:rPr>
        <w:t>。</w:t>
      </w:r>
    </w:p>
    <w:p w14:paraId="0A911C42">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文件规定须联合体各成员单位各自盖章的证明材料外，投标文件由联合体牵头人按上述规定加盖联合体牵头人单位公章。</w:t>
      </w:r>
    </w:p>
    <w:p w14:paraId="204C3B93">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14:paraId="0A98598E">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14:paraId="0611FF1A">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14:paraId="48042631">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4" w:name="_Hlk22476245"/>
      <w:r>
        <w:rPr>
          <w:rFonts w:ascii="Times New Roman" w:hAnsi="Times New Roman" w:cs="Times New Roman" w:eastAsiaTheme="minorEastAsia"/>
          <w:szCs w:val="21"/>
        </w:rPr>
        <w:t>投标文件提交截止时间</w:t>
      </w:r>
      <w:bookmarkEnd w:id="4"/>
      <w:r>
        <w:rPr>
          <w:rFonts w:ascii="Times New Roman" w:hAnsi="Times New Roman" w:cs="Times New Roman" w:eastAsiaTheme="minorEastAsia"/>
          <w:szCs w:val="21"/>
        </w:rPr>
        <w:t>前，将封装的投标文件送到指定开标地点。</w:t>
      </w:r>
    </w:p>
    <w:p w14:paraId="690FC3D6">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14:paraId="5D1D066F">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14:paraId="6A651583">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w:t>
      </w:r>
      <w:r>
        <w:rPr>
          <w:rFonts w:hint="eastAsia" w:ascii="Times New Roman" w:hAnsi="Times New Roman" w:cs="Times New Roman"/>
          <w:szCs w:val="21"/>
          <w:lang w:eastAsia="zh-CN"/>
        </w:rPr>
        <w:t>询比</w:t>
      </w:r>
      <w:r>
        <w:rPr>
          <w:rFonts w:ascii="Times New Roman" w:hAnsi="Times New Roman" w:cs="Times New Roman" w:eastAsiaTheme="minorEastAsia"/>
          <w:szCs w:val="21"/>
        </w:rPr>
        <w:t>公告”规定的投标截止时间前，将封装的投标文件送到指定开标地点。（如</w:t>
      </w:r>
      <w:r>
        <w:rPr>
          <w:rFonts w:hint="eastAsia" w:ascii="Times New Roman" w:hAnsi="Times New Roman" w:cs="Times New Roman"/>
          <w:szCs w:val="21"/>
          <w:lang w:eastAsia="zh-CN"/>
        </w:rPr>
        <w:t>询比</w:t>
      </w:r>
      <w:r>
        <w:rPr>
          <w:rFonts w:ascii="Times New Roman" w:hAnsi="Times New Roman" w:cs="Times New Roman" w:eastAsiaTheme="minorEastAsia"/>
          <w:szCs w:val="21"/>
        </w:rPr>
        <w:t>延期，按最新发布</w:t>
      </w:r>
      <w:r>
        <w:rPr>
          <w:rFonts w:hint="eastAsia" w:ascii="Times New Roman" w:hAnsi="Times New Roman" w:cs="Times New Roman"/>
          <w:szCs w:val="21"/>
          <w:lang w:eastAsia="zh-CN"/>
        </w:rPr>
        <w:t>询比</w:t>
      </w:r>
      <w:r>
        <w:rPr>
          <w:rFonts w:ascii="Times New Roman" w:hAnsi="Times New Roman" w:cs="Times New Roman" w:eastAsiaTheme="minorEastAsia"/>
          <w:szCs w:val="21"/>
        </w:rPr>
        <w:t>时间执行）。</w:t>
      </w:r>
    </w:p>
    <w:p w14:paraId="358FF887">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14:paraId="3C6770FC">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14:paraId="6645242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14:paraId="4A18B854">
      <w:pPr>
        <w:spacing w:line="360" w:lineRule="auto"/>
        <w:ind w:firstLine="437"/>
        <w:outlineLvl w:val="3"/>
        <w:rPr>
          <w:rFonts w:hint="eastAsia" w:ascii="Times New Roman" w:hAnsi="Times New Roman" w:cs="Times New Roman" w:eastAsiaTheme="minorEastAsia"/>
          <w:b/>
          <w:sz w:val="24"/>
          <w:lang w:eastAsia="zh-CN"/>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b/>
          <w:sz w:val="24"/>
          <w:lang w:eastAsia="zh-CN"/>
        </w:rPr>
        <w:t>询比</w:t>
      </w:r>
    </w:p>
    <w:p w14:paraId="19FF8609">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14:paraId="05D5A5B2">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w:t>
      </w:r>
      <w:r>
        <w:rPr>
          <w:rFonts w:hint="eastAsia" w:ascii="Times New Roman" w:hAnsi="Times New Roman" w:cs="Times New Roman"/>
          <w:szCs w:val="21"/>
          <w:lang w:eastAsia="zh-CN"/>
        </w:rPr>
        <w:t>询比</w:t>
      </w:r>
      <w:r>
        <w:rPr>
          <w:rFonts w:ascii="Times New Roman" w:hAnsi="Times New Roman" w:cs="Times New Roman" w:eastAsiaTheme="minorEastAsia"/>
          <w:szCs w:val="21"/>
        </w:rPr>
        <w:t>缺乏竞争的；</w:t>
      </w:r>
    </w:p>
    <w:p w14:paraId="3E9F3C6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14:paraId="64673BE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14:paraId="5C62F2F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文件有重大漏洞，导致无法继续评审的；</w:t>
      </w:r>
    </w:p>
    <w:p w14:paraId="5C456CD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14:paraId="70EDE09D">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14:paraId="162AA9D5">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6FDE78F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14:paraId="42B66D71">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14:paraId="31D08A22">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14:paraId="14D583F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14:paraId="45E058DB">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14:paraId="463BDBC7">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14:paraId="1B686DCD">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0450FA6D">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14:paraId="3261EEBB">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14:paraId="2F4DA2C5">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14:paraId="24EFD8E5">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w:t>
      </w:r>
      <w:r>
        <w:rPr>
          <w:rFonts w:hint="eastAsia" w:ascii="Times New Roman" w:hAnsi="Times New Roman" w:cs="Times New Roman"/>
          <w:szCs w:val="21"/>
          <w:lang w:val="en-US" w:eastAsia="zh-CN"/>
        </w:rPr>
        <w:t>官网</w:t>
      </w:r>
      <w:r>
        <w:rPr>
          <w:rFonts w:ascii="Times New Roman" w:hAnsi="Times New Roman" w:cs="Times New Roman" w:eastAsiaTheme="minorEastAsia"/>
          <w:szCs w:val="21"/>
        </w:rPr>
        <w:t>发布中标结果公告。</w:t>
      </w:r>
    </w:p>
    <w:p w14:paraId="50CED5D0">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14:paraId="56F5B29B">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14:paraId="2B13FC3B">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文件、中标人的投标文件及其澄清文件等，均为签订合同的依据。</w:t>
      </w:r>
    </w:p>
    <w:p w14:paraId="2163EC39">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14:paraId="208B2144">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14:paraId="6B69F53E">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14:paraId="5586B89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5" w:name="_Toc11969"/>
      <w:r>
        <w:rPr>
          <w:rFonts w:ascii="Times New Roman" w:hAnsi="Times New Roman" w:cs="Times New Roman" w:eastAsiaTheme="minorEastAsia"/>
          <w:b/>
          <w:sz w:val="28"/>
        </w:rPr>
        <w:t xml:space="preserve">第三章  </w:t>
      </w:r>
      <w:bookmarkEnd w:id="5"/>
      <w:r>
        <w:rPr>
          <w:rFonts w:ascii="Times New Roman" w:hAnsi="Times New Roman" w:cs="Times New Roman" w:eastAsiaTheme="minorEastAsia"/>
          <w:b/>
          <w:sz w:val="28"/>
        </w:rPr>
        <w:t>招标人要求</w:t>
      </w:r>
    </w:p>
    <w:p w14:paraId="367B0F85">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要求通常包括但不限于以下内容：</w:t>
      </w:r>
    </w:p>
    <w:p w14:paraId="5A52952C">
      <w:pPr>
        <w:spacing w:line="360" w:lineRule="auto"/>
        <w:ind w:firstLine="482" w:firstLineChars="200"/>
        <w:outlineLvl w:val="1"/>
        <w:rPr>
          <w:rFonts w:ascii="Times New Roman" w:hAnsi="Times New Roman"/>
          <w:b/>
          <w:sz w:val="24"/>
          <w:szCs w:val="24"/>
        </w:rPr>
      </w:pPr>
      <w:bookmarkStart w:id="6" w:name="_Toc482188637"/>
      <w:bookmarkStart w:id="7" w:name="_Toc19590"/>
      <w:r>
        <w:rPr>
          <w:rFonts w:ascii="Times New Roman" w:hAnsi="Times New Roman"/>
          <w:b/>
          <w:sz w:val="24"/>
          <w:szCs w:val="24"/>
        </w:rPr>
        <w:t>一、</w:t>
      </w:r>
      <w:bookmarkEnd w:id="6"/>
      <w:r>
        <w:rPr>
          <w:rFonts w:hint="eastAsia" w:ascii="Times New Roman" w:hAnsi="Times New Roman"/>
          <w:b/>
          <w:sz w:val="24"/>
          <w:szCs w:val="24"/>
        </w:rPr>
        <w:t>项目概况</w:t>
      </w:r>
      <w:bookmarkEnd w:id="7"/>
    </w:p>
    <w:p w14:paraId="4F280880">
      <w:pPr>
        <w:spacing w:line="360" w:lineRule="auto"/>
        <w:ind w:firstLine="420" w:firstLineChars="200"/>
        <w:rPr>
          <w:rFonts w:hint="eastAsia" w:ascii="Times New Roman" w:hAnsi="Times New Roman"/>
          <w:sz w:val="21"/>
          <w:szCs w:val="21"/>
          <w:lang w:val="en-US" w:eastAsia="zh-CN"/>
        </w:rPr>
      </w:pPr>
      <w:bookmarkStart w:id="8" w:name="_Toc482188638"/>
      <w:bookmarkStart w:id="9" w:name="_Toc26876"/>
      <w:r>
        <w:rPr>
          <w:rFonts w:hint="eastAsia" w:ascii="Times New Roman" w:hAnsi="Times New Roman"/>
          <w:sz w:val="21"/>
          <w:szCs w:val="21"/>
        </w:rPr>
        <w:t>本项目处置的资产主要是合肥经纬资产经营管理有限公司拟处置FS420蜘蛛式高空平台等一批报废资产的残余价值。主要包括FS420蜘蛛式高空平台、综合馆吧台、联想电脑。</w:t>
      </w:r>
      <w:r>
        <w:rPr>
          <w:rFonts w:hint="eastAsia" w:ascii="Times New Roman" w:hAnsi="Times New Roman"/>
          <w:sz w:val="21"/>
          <w:szCs w:val="21"/>
          <w:lang w:val="en-US" w:eastAsia="zh-CN"/>
        </w:rPr>
        <w:t xml:space="preserve">   </w:t>
      </w:r>
    </w:p>
    <w:p w14:paraId="6B9E85B5">
      <w:pPr>
        <w:spacing w:line="360" w:lineRule="auto"/>
        <w:ind w:firstLine="420" w:firstLineChars="200"/>
        <w:rPr>
          <w:rFonts w:hint="eastAsia" w:ascii="Times New Roman" w:hAnsi="Times New Roman"/>
          <w:sz w:val="21"/>
          <w:szCs w:val="21"/>
        </w:rPr>
      </w:pPr>
      <w:r>
        <w:rPr>
          <w:rFonts w:hint="eastAsia" w:ascii="Times New Roman" w:hAnsi="Times New Roman"/>
          <w:sz w:val="21"/>
          <w:szCs w:val="21"/>
        </w:rPr>
        <w:t>本项目资产处置均以现场实物现状为准，本公告披露的转让资产处置清单仅供参考，不代表标的资产与其完全一致。投标人应自行考虑成本，合理报价。</w:t>
      </w:r>
    </w:p>
    <w:p w14:paraId="7617B3C4">
      <w:pPr>
        <w:spacing w:line="360" w:lineRule="auto"/>
        <w:ind w:firstLine="420" w:firstLineChars="200"/>
        <w:rPr>
          <w:rFonts w:hint="eastAsia" w:ascii="Times New Roman" w:hAnsi="Times New Roman"/>
          <w:sz w:val="21"/>
          <w:szCs w:val="21"/>
        </w:rPr>
      </w:pPr>
      <w:r>
        <w:rPr>
          <w:rFonts w:hint="eastAsia" w:ascii="Times New Roman" w:hAnsi="Times New Roman"/>
          <w:sz w:val="21"/>
          <w:szCs w:val="21"/>
        </w:rPr>
        <w:t>上述资产处置已经上级主管单位批准同意处置，广东信德资产评估与房地产土地估价有限公司出具了信德评报字（2026）第Z00036号（AH）《资产评估报告书》，资产评估总价值为人民币9264元。资产评估结果已经有关部门备案。</w:t>
      </w:r>
    </w:p>
    <w:p w14:paraId="56A33B26">
      <w:pPr>
        <w:spacing w:line="360" w:lineRule="auto"/>
        <w:ind w:firstLine="482" w:firstLineChars="200"/>
        <w:rPr>
          <w:rFonts w:ascii="Times New Roman" w:hAnsi="Times New Roman"/>
          <w:b/>
          <w:sz w:val="24"/>
          <w:szCs w:val="24"/>
        </w:rPr>
      </w:pPr>
      <w:r>
        <w:rPr>
          <w:rFonts w:ascii="Times New Roman" w:hAnsi="Times New Roman"/>
          <w:b/>
          <w:sz w:val="24"/>
          <w:szCs w:val="24"/>
        </w:rPr>
        <w:t>二、</w:t>
      </w:r>
      <w:bookmarkEnd w:id="8"/>
      <w:r>
        <w:rPr>
          <w:rFonts w:hint="eastAsia" w:ascii="Times New Roman" w:hAnsi="Times New Roman"/>
          <w:b/>
          <w:sz w:val="24"/>
          <w:szCs w:val="24"/>
        </w:rPr>
        <w:t>服务内容及要求</w:t>
      </w:r>
      <w:bookmarkEnd w:id="9"/>
    </w:p>
    <w:p w14:paraId="66B90477">
      <w:pPr>
        <w:spacing w:line="360" w:lineRule="auto"/>
        <w:ind w:firstLine="420" w:firstLineChars="200"/>
        <w:outlineLvl w:val="1"/>
        <w:rPr>
          <w:rFonts w:hint="eastAsia" w:ascii="Times New Roman" w:hAnsi="Times New Roman"/>
          <w:sz w:val="21"/>
          <w:szCs w:val="21"/>
          <w:lang w:val="en-US" w:eastAsia="zh-CN"/>
        </w:rPr>
      </w:pPr>
      <w:bookmarkStart w:id="10" w:name="_Toc15614"/>
      <w:bookmarkStart w:id="11" w:name="_Toc482188639"/>
      <w:r>
        <w:rPr>
          <w:rFonts w:hint="eastAsia" w:ascii="Times New Roman" w:hAnsi="Times New Roman"/>
          <w:sz w:val="21"/>
          <w:szCs w:val="21"/>
          <w:lang w:val="en-US" w:eastAsia="zh-CN"/>
        </w:rPr>
        <w:t>1、标的以现状移交，以转让资产清单为限，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成新度和功能情况等，并认可转让资产现状及转让要求，自愿承担因上述原因导致的一切后果和法律责任。</w:t>
      </w:r>
    </w:p>
    <w:p w14:paraId="1F50F7C7">
      <w:pPr>
        <w:spacing w:line="360" w:lineRule="auto"/>
        <w:ind w:firstLine="420" w:firstLineChars="200"/>
        <w:outlineLvl w:val="1"/>
        <w:rPr>
          <w:rFonts w:hint="eastAsia" w:ascii="Times New Roman" w:hAnsi="Times New Roman"/>
          <w:sz w:val="21"/>
          <w:szCs w:val="21"/>
          <w:lang w:val="en-US" w:eastAsia="zh-CN"/>
        </w:rPr>
      </w:pPr>
      <w:r>
        <w:rPr>
          <w:rFonts w:hint="eastAsia" w:ascii="Times New Roman" w:hAnsi="Times New Roman"/>
          <w:sz w:val="21"/>
          <w:szCs w:val="21"/>
          <w:lang w:val="en-US" w:eastAsia="zh-CN"/>
        </w:rPr>
        <w:t>2、本项目转让价款为含税价格，根据资产处置清单情况，委托方可开具增值税发票（税率届时按国家最新税率政策或最新税控软件确定）。</w:t>
      </w:r>
    </w:p>
    <w:p w14:paraId="0588DFB2">
      <w:pPr>
        <w:spacing w:line="360" w:lineRule="auto"/>
        <w:ind w:firstLine="420" w:firstLineChars="200"/>
        <w:outlineLvl w:val="1"/>
        <w:rPr>
          <w:rFonts w:hint="eastAsia" w:ascii="Times New Roman" w:hAnsi="Times New Roman"/>
          <w:sz w:val="21"/>
          <w:szCs w:val="21"/>
          <w:lang w:val="en-US" w:eastAsia="zh-CN"/>
        </w:rPr>
      </w:pPr>
      <w:r>
        <w:rPr>
          <w:rFonts w:hint="eastAsia" w:ascii="Times New Roman" w:hAnsi="Times New Roman"/>
          <w:sz w:val="21"/>
          <w:szCs w:val="21"/>
          <w:lang w:val="en-US" w:eastAsia="zh-CN"/>
        </w:rPr>
        <w:t>3、受让方须在委托方指定的场地进行验收和交接标的，不得在委托方场地对标的进行分解、拆解。自转让价款全部付清之日起3个工作日内，委托方协助受让方办理资产交接等手续。</w:t>
      </w:r>
    </w:p>
    <w:p w14:paraId="7900A3D4">
      <w:pPr>
        <w:spacing w:line="360" w:lineRule="auto"/>
        <w:ind w:firstLine="420" w:firstLineChars="200"/>
        <w:outlineLvl w:val="1"/>
        <w:rPr>
          <w:rFonts w:hint="eastAsia" w:ascii="Times New Roman" w:hAnsi="Times New Roman"/>
          <w:sz w:val="21"/>
          <w:szCs w:val="21"/>
          <w:lang w:val="en-US" w:eastAsia="zh-CN"/>
        </w:rPr>
      </w:pPr>
      <w:r>
        <w:rPr>
          <w:rFonts w:hint="eastAsia" w:ascii="Times New Roman" w:hAnsi="Times New Roman"/>
          <w:sz w:val="21"/>
          <w:szCs w:val="21"/>
          <w:lang w:val="en-US" w:eastAsia="zh-CN"/>
        </w:rPr>
        <w:t>4、受让方须在签订《资产转让合同》之日起5日内完成标的回收及现场清理工作。</w:t>
      </w:r>
    </w:p>
    <w:p w14:paraId="5E7908E0">
      <w:pPr>
        <w:spacing w:line="360" w:lineRule="auto"/>
        <w:ind w:firstLine="420" w:firstLineChars="200"/>
        <w:outlineLvl w:val="1"/>
        <w:rPr>
          <w:rFonts w:hint="eastAsia" w:ascii="Times New Roman" w:hAnsi="Times New Roman"/>
          <w:sz w:val="21"/>
          <w:szCs w:val="21"/>
          <w:lang w:val="en-US" w:eastAsia="zh-CN"/>
        </w:rPr>
      </w:pPr>
      <w:r>
        <w:rPr>
          <w:rFonts w:hint="eastAsia" w:ascii="Times New Roman" w:hAnsi="Times New Roman"/>
          <w:sz w:val="21"/>
          <w:szCs w:val="21"/>
          <w:lang w:val="en-US" w:eastAsia="zh-CN"/>
        </w:rPr>
        <w:t>5、受让方须遵守国家、省、市相关再生资源利用方面的法律、法规和政策规定，否则由此引起的一切责任均由受让方承担。如在对转让标的拆卸、搬运或残余物处置过程中造成人身伤亡、财产损失的，由此产生的一切经济赔偿责任和法律后果均由受让方自行承担。</w:t>
      </w:r>
    </w:p>
    <w:p w14:paraId="315EB96A">
      <w:pPr>
        <w:spacing w:line="360" w:lineRule="auto"/>
        <w:ind w:firstLine="420" w:firstLineChars="200"/>
        <w:outlineLvl w:val="1"/>
        <w:rPr>
          <w:rFonts w:hint="eastAsia" w:ascii="Times New Roman" w:hAnsi="Times New Roman"/>
          <w:sz w:val="21"/>
          <w:szCs w:val="21"/>
          <w:lang w:val="en-US" w:eastAsia="zh-CN"/>
        </w:rPr>
      </w:pPr>
      <w:r>
        <w:rPr>
          <w:rFonts w:hint="eastAsia" w:ascii="Times New Roman" w:hAnsi="Times New Roman"/>
          <w:sz w:val="21"/>
          <w:szCs w:val="21"/>
          <w:lang w:val="en-US" w:eastAsia="zh-CN"/>
        </w:rPr>
        <w:t>6、其他未尽事宜详见本公告附件《资产转让合同》。</w:t>
      </w:r>
    </w:p>
    <w:p w14:paraId="4D302A44">
      <w:pPr>
        <w:spacing w:line="360" w:lineRule="auto"/>
        <w:ind w:firstLine="482" w:firstLineChars="200"/>
        <w:outlineLvl w:val="1"/>
        <w:rPr>
          <w:rFonts w:hint="default" w:ascii="Times New Roman" w:hAnsi="Times New Roman" w:eastAsiaTheme="minorEastAsia"/>
          <w:b/>
          <w:sz w:val="24"/>
          <w:szCs w:val="24"/>
          <w:lang w:val="en-US" w:eastAsia="zh-CN"/>
        </w:rPr>
      </w:pPr>
      <w:r>
        <w:rPr>
          <w:rFonts w:ascii="Times New Roman" w:hAnsi="Times New Roman"/>
          <w:b/>
          <w:sz w:val="24"/>
          <w:szCs w:val="24"/>
        </w:rPr>
        <w:t>三、</w:t>
      </w:r>
      <w:bookmarkEnd w:id="10"/>
      <w:bookmarkEnd w:id="11"/>
      <w:r>
        <w:rPr>
          <w:rFonts w:hint="eastAsia" w:ascii="Times New Roman" w:hAnsi="Times New Roman"/>
          <w:b/>
          <w:sz w:val="24"/>
          <w:szCs w:val="24"/>
          <w:lang w:val="en-US" w:eastAsia="zh-CN"/>
        </w:rPr>
        <w:t>资产处置清单</w:t>
      </w:r>
    </w:p>
    <w:tbl>
      <w:tblPr>
        <w:tblStyle w:val="21"/>
        <w:tblW w:w="83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8"/>
        <w:gridCol w:w="1745"/>
        <w:gridCol w:w="1415"/>
        <w:gridCol w:w="1329"/>
        <w:gridCol w:w="729"/>
        <w:gridCol w:w="1425"/>
        <w:gridCol w:w="1028"/>
      </w:tblGrid>
      <w:tr w14:paraId="6127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A7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bookmarkStart w:id="12" w:name="_Toc482188644"/>
            <w:bookmarkStart w:id="13" w:name="_Toc482188645"/>
            <w:r>
              <w:rPr>
                <w:rFonts w:hint="eastAsia" w:ascii="宋体" w:hAnsi="宋体" w:eastAsia="宋体" w:cs="宋体"/>
                <w:b/>
                <w:bCs/>
                <w:i w:val="0"/>
                <w:iCs w:val="0"/>
                <w:color w:val="000000"/>
                <w:kern w:val="0"/>
                <w:sz w:val="20"/>
                <w:szCs w:val="20"/>
                <w:u w:val="none"/>
                <w:lang w:val="en-US" w:eastAsia="zh-CN" w:bidi="ar"/>
              </w:rPr>
              <w:t>序号</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BB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资产名称</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E8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56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账面原值</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68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w:t>
            </w:r>
            <w:r>
              <w:rPr>
                <w:rStyle w:val="54"/>
                <w:lang w:val="en-US" w:eastAsia="zh-CN" w:bidi="ar"/>
              </w:rPr>
              <w:t xml:space="preserve"> 量</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7E0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存放地点</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691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备 </w:t>
            </w:r>
            <w:r>
              <w:rPr>
                <w:rStyle w:val="54"/>
                <w:lang w:val="en-US" w:eastAsia="zh-CN" w:bidi="ar"/>
              </w:rPr>
              <w:t xml:space="preserve">   注</w:t>
            </w:r>
          </w:p>
        </w:tc>
      </w:tr>
      <w:tr w14:paraId="01D2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0212">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5C55">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sz w:val="21"/>
                <w:szCs w:val="21"/>
                <w:u w:val="none"/>
              </w:rPr>
            </w:pPr>
            <w:r>
              <w:rPr>
                <w:rFonts w:hint="eastAsia" w:ascii="Times New Roman" w:hAnsi="Times New Roman" w:eastAsiaTheme="minorEastAsia" w:cstheme="minorBidi"/>
                <w:i w:val="0"/>
                <w:iCs w:val="0"/>
                <w:color w:val="auto"/>
                <w:kern w:val="2"/>
                <w:sz w:val="21"/>
                <w:szCs w:val="21"/>
                <w:u w:val="none"/>
                <w:lang w:val="en-US" w:eastAsia="zh-CN" w:bidi="ar"/>
              </w:rPr>
              <w:t>蜘蛛式高空平台</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FE12">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sz w:val="21"/>
                <w:szCs w:val="21"/>
                <w:u w:val="none"/>
              </w:rPr>
            </w:pPr>
            <w:r>
              <w:rPr>
                <w:rFonts w:hint="eastAsia" w:ascii="Times New Roman" w:hAnsi="Times New Roman" w:eastAsiaTheme="minorEastAsia" w:cstheme="minorBidi"/>
                <w:i w:val="0"/>
                <w:iCs w:val="0"/>
                <w:color w:val="auto"/>
                <w:kern w:val="2"/>
                <w:sz w:val="21"/>
                <w:szCs w:val="21"/>
                <w:u w:val="none"/>
                <w:lang w:val="en-US" w:eastAsia="zh-CN" w:bidi="ar"/>
              </w:rPr>
              <w:t>FS420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3299">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sz w:val="21"/>
                <w:szCs w:val="21"/>
                <w:u w:val="none"/>
              </w:rPr>
            </w:pPr>
            <w:r>
              <w:rPr>
                <w:rFonts w:hint="eastAsia" w:ascii="Times New Roman" w:hAnsi="Times New Roman" w:eastAsiaTheme="minorEastAsia" w:cstheme="minorBidi"/>
                <w:i w:val="0"/>
                <w:iCs w:val="0"/>
                <w:color w:val="auto"/>
                <w:kern w:val="2"/>
                <w:sz w:val="21"/>
                <w:szCs w:val="21"/>
                <w:u w:val="none"/>
                <w:lang w:val="en-US" w:eastAsia="zh-CN" w:bidi="ar"/>
              </w:rPr>
              <w:t>269.50万元</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B21E">
            <w:pPr>
              <w:keepNext w:val="0"/>
              <w:keepLines w:val="0"/>
              <w:widowControl/>
              <w:suppressLineNumbers w:val="0"/>
              <w:spacing w:line="360" w:lineRule="auto"/>
              <w:ind w:firstLine="420" w:firstLineChars="200"/>
              <w:jc w:val="center"/>
              <w:textAlignment w:val="auto"/>
              <w:outlineLvl w:val="1"/>
              <w:rPr>
                <w:rFonts w:hint="eastAsia" w:ascii="Times New Roman" w:hAnsi="Times New Roman" w:eastAsiaTheme="minorEastAsia" w:cstheme="minorBidi"/>
                <w:i w:val="0"/>
                <w:iCs w:val="0"/>
                <w:color w:val="auto"/>
                <w:sz w:val="21"/>
                <w:szCs w:val="21"/>
                <w:u w:val="none"/>
              </w:rPr>
            </w:pPr>
            <w:r>
              <w:rPr>
                <w:rFonts w:hint="eastAsia" w:ascii="Times New Roman" w:hAnsi="Times New Roman" w:eastAsiaTheme="minorEastAsia" w:cstheme="minorBidi"/>
                <w:i w:val="0"/>
                <w:iCs w:val="0"/>
                <w:color w:val="auto"/>
                <w:kern w:val="2"/>
                <w:sz w:val="21"/>
                <w:szCs w:val="21"/>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1F46">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sz w:val="21"/>
                <w:szCs w:val="21"/>
                <w:u w:val="none"/>
              </w:rPr>
            </w:pPr>
            <w:r>
              <w:rPr>
                <w:rFonts w:hint="eastAsia" w:ascii="Times New Roman" w:hAnsi="Times New Roman" w:eastAsiaTheme="minorEastAsia" w:cstheme="minorBidi"/>
                <w:i w:val="0"/>
                <w:iCs w:val="0"/>
                <w:color w:val="auto"/>
                <w:kern w:val="2"/>
                <w:sz w:val="21"/>
                <w:szCs w:val="21"/>
                <w:u w:val="none"/>
                <w:lang w:val="en-US" w:eastAsia="zh-CN" w:bidi="ar"/>
              </w:rPr>
              <w:t>会展中心</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0913">
            <w:pPr>
              <w:keepNext w:val="0"/>
              <w:keepLines w:val="0"/>
              <w:widowControl/>
              <w:suppressLineNumbers w:val="0"/>
              <w:spacing w:line="360" w:lineRule="auto"/>
              <w:ind w:firstLine="420" w:firstLineChars="200"/>
              <w:jc w:val="left"/>
              <w:textAlignment w:val="auto"/>
              <w:outlineLvl w:val="1"/>
              <w:rPr>
                <w:rFonts w:hint="eastAsia" w:ascii="Times New Roman" w:hAnsi="Times New Roman" w:eastAsiaTheme="minorEastAsia" w:cstheme="minorBidi"/>
                <w:i w:val="0"/>
                <w:iCs w:val="0"/>
                <w:color w:val="auto"/>
                <w:sz w:val="21"/>
                <w:szCs w:val="21"/>
                <w:u w:val="none"/>
              </w:rPr>
            </w:pPr>
          </w:p>
        </w:tc>
      </w:tr>
      <w:tr w14:paraId="7AC3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80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524E">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sz w:val="21"/>
                <w:szCs w:val="21"/>
                <w:u w:val="none"/>
              </w:rPr>
            </w:pPr>
            <w:r>
              <w:rPr>
                <w:rFonts w:hint="eastAsia" w:ascii="Times New Roman" w:hAnsi="Times New Roman" w:eastAsiaTheme="minorEastAsia" w:cstheme="minorBidi"/>
                <w:i w:val="0"/>
                <w:iCs w:val="0"/>
                <w:color w:val="auto"/>
                <w:kern w:val="2"/>
                <w:sz w:val="21"/>
                <w:szCs w:val="21"/>
                <w:u w:val="none"/>
                <w:lang w:val="en-US" w:eastAsia="zh-CN" w:bidi="ar"/>
              </w:rPr>
              <w:t>综合馆吧台</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998F">
            <w:pPr>
              <w:spacing w:line="360" w:lineRule="auto"/>
              <w:ind w:firstLine="420" w:firstLineChars="200"/>
              <w:jc w:val="center"/>
              <w:outlineLvl w:val="1"/>
              <w:rPr>
                <w:rFonts w:hint="eastAsia" w:ascii="Times New Roman" w:hAnsi="Times New Roman" w:eastAsiaTheme="minorEastAsia" w:cstheme="minorBidi"/>
                <w:i w:val="0"/>
                <w:iCs w:val="0"/>
                <w:color w:val="auto"/>
                <w:sz w:val="21"/>
                <w:szCs w:val="21"/>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A030">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sz w:val="21"/>
                <w:szCs w:val="21"/>
                <w:u w:val="none"/>
              </w:rPr>
            </w:pPr>
            <w:r>
              <w:rPr>
                <w:rFonts w:hint="eastAsia" w:ascii="Times New Roman" w:hAnsi="Times New Roman" w:eastAsiaTheme="minorEastAsia" w:cstheme="minorBidi"/>
                <w:i w:val="0"/>
                <w:iCs w:val="0"/>
                <w:color w:val="auto"/>
                <w:kern w:val="2"/>
                <w:sz w:val="21"/>
                <w:szCs w:val="21"/>
                <w:u w:val="none"/>
                <w:lang w:val="en-US" w:eastAsia="zh-CN" w:bidi="ar"/>
              </w:rPr>
              <w:t>8950元</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D507">
            <w:pPr>
              <w:keepNext w:val="0"/>
              <w:keepLines w:val="0"/>
              <w:widowControl/>
              <w:suppressLineNumbers w:val="0"/>
              <w:spacing w:line="360" w:lineRule="auto"/>
              <w:ind w:firstLine="420" w:firstLineChars="200"/>
              <w:jc w:val="center"/>
              <w:textAlignment w:val="auto"/>
              <w:outlineLvl w:val="1"/>
              <w:rPr>
                <w:rFonts w:hint="eastAsia" w:ascii="Times New Roman" w:hAnsi="Times New Roman" w:eastAsiaTheme="minorEastAsia" w:cstheme="minorBidi"/>
                <w:i w:val="0"/>
                <w:iCs w:val="0"/>
                <w:color w:val="auto"/>
                <w:sz w:val="21"/>
                <w:szCs w:val="21"/>
                <w:u w:val="none"/>
              </w:rPr>
            </w:pPr>
            <w:r>
              <w:rPr>
                <w:rFonts w:hint="eastAsia" w:ascii="Times New Roman" w:hAnsi="Times New Roman" w:eastAsiaTheme="minorEastAsia" w:cstheme="minorBidi"/>
                <w:i w:val="0"/>
                <w:iCs w:val="0"/>
                <w:color w:val="auto"/>
                <w:kern w:val="2"/>
                <w:sz w:val="21"/>
                <w:szCs w:val="21"/>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F1E7">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sz w:val="21"/>
                <w:szCs w:val="21"/>
                <w:u w:val="none"/>
              </w:rPr>
            </w:pPr>
            <w:r>
              <w:rPr>
                <w:rFonts w:hint="eastAsia" w:ascii="Times New Roman" w:hAnsi="Times New Roman" w:eastAsiaTheme="minorEastAsia" w:cstheme="minorBidi"/>
                <w:i w:val="0"/>
                <w:iCs w:val="0"/>
                <w:color w:val="auto"/>
                <w:kern w:val="2"/>
                <w:sz w:val="21"/>
                <w:szCs w:val="21"/>
                <w:u w:val="none"/>
                <w:lang w:val="en-US" w:eastAsia="zh-CN" w:bidi="ar"/>
              </w:rPr>
              <w:t>体育中心</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567DE938">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414B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2FF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1FE2">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sz w:val="21"/>
                <w:szCs w:val="21"/>
                <w:u w:val="none"/>
              </w:rPr>
            </w:pPr>
            <w:r>
              <w:rPr>
                <w:rFonts w:hint="eastAsia" w:ascii="Times New Roman" w:hAnsi="Times New Roman" w:eastAsiaTheme="minorEastAsia" w:cstheme="minorBidi"/>
                <w:i w:val="0"/>
                <w:iCs w:val="0"/>
                <w:color w:val="auto"/>
                <w:kern w:val="2"/>
                <w:sz w:val="21"/>
                <w:szCs w:val="21"/>
                <w:u w:val="none"/>
                <w:lang w:val="en-US" w:eastAsia="zh-CN" w:bidi="ar"/>
              </w:rPr>
              <w:t>联想电脑</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F5BF">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sz w:val="21"/>
                <w:szCs w:val="21"/>
                <w:u w:val="none"/>
              </w:rPr>
            </w:pPr>
            <w:r>
              <w:rPr>
                <w:rFonts w:hint="eastAsia" w:ascii="Times New Roman" w:hAnsi="Times New Roman" w:cstheme="minorBidi"/>
                <w:i w:val="0"/>
                <w:iCs w:val="0"/>
                <w:kern w:val="2"/>
                <w:sz w:val="21"/>
                <w:szCs w:val="21"/>
                <w:u w:val="none"/>
                <w:lang w:val="en-US" w:eastAsia="zh-CN" w:bidi="ar"/>
              </w:rPr>
              <w:t>扬天</w:t>
            </w:r>
            <w:r>
              <w:rPr>
                <w:rFonts w:hint="eastAsia" w:ascii="Times New Roman" w:hAnsi="Times New Roman" w:eastAsiaTheme="minorEastAsia" w:cstheme="minorBidi"/>
                <w:i w:val="0"/>
                <w:iCs w:val="0"/>
                <w:color w:val="auto"/>
                <w:kern w:val="2"/>
                <w:sz w:val="21"/>
                <w:szCs w:val="21"/>
                <w:u w:val="none"/>
                <w:lang w:val="en-US" w:eastAsia="zh-CN" w:bidi="ar"/>
              </w:rPr>
              <w:t>T4900d</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BDB4">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sz w:val="21"/>
                <w:szCs w:val="21"/>
                <w:u w:val="none"/>
              </w:rPr>
            </w:pPr>
            <w:r>
              <w:rPr>
                <w:rFonts w:hint="eastAsia" w:ascii="Times New Roman" w:hAnsi="Times New Roman" w:eastAsiaTheme="minorEastAsia" w:cstheme="minorBidi"/>
                <w:i w:val="0"/>
                <w:iCs w:val="0"/>
                <w:color w:val="auto"/>
                <w:kern w:val="2"/>
                <w:sz w:val="21"/>
                <w:szCs w:val="21"/>
                <w:u w:val="none"/>
                <w:lang w:val="en-US" w:eastAsia="zh-CN" w:bidi="ar"/>
              </w:rPr>
              <w:t>4380.53元</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E2DD">
            <w:pPr>
              <w:keepNext w:val="0"/>
              <w:keepLines w:val="0"/>
              <w:widowControl/>
              <w:suppressLineNumbers w:val="0"/>
              <w:spacing w:line="360" w:lineRule="auto"/>
              <w:ind w:firstLine="420" w:firstLineChars="200"/>
              <w:jc w:val="center"/>
              <w:textAlignment w:val="auto"/>
              <w:outlineLvl w:val="1"/>
              <w:rPr>
                <w:rFonts w:hint="eastAsia" w:ascii="Times New Roman" w:hAnsi="Times New Roman" w:eastAsiaTheme="minorEastAsia" w:cstheme="minorBidi"/>
                <w:i w:val="0"/>
                <w:iCs w:val="0"/>
                <w:color w:val="auto"/>
                <w:sz w:val="21"/>
                <w:szCs w:val="21"/>
                <w:u w:val="none"/>
              </w:rPr>
            </w:pPr>
            <w:r>
              <w:rPr>
                <w:rFonts w:hint="eastAsia" w:ascii="Times New Roman" w:hAnsi="Times New Roman" w:eastAsiaTheme="minorEastAsia" w:cstheme="minorBidi"/>
                <w:i w:val="0"/>
                <w:iCs w:val="0"/>
                <w:color w:val="auto"/>
                <w:kern w:val="2"/>
                <w:sz w:val="21"/>
                <w:szCs w:val="21"/>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B5E9">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sz w:val="21"/>
                <w:szCs w:val="21"/>
                <w:u w:val="none"/>
              </w:rPr>
            </w:pPr>
            <w:r>
              <w:rPr>
                <w:rFonts w:hint="eastAsia" w:ascii="Times New Roman" w:hAnsi="Times New Roman" w:eastAsiaTheme="minorEastAsia" w:cstheme="minorBidi"/>
                <w:i w:val="0"/>
                <w:iCs w:val="0"/>
                <w:color w:val="auto"/>
                <w:kern w:val="2"/>
                <w:sz w:val="21"/>
                <w:szCs w:val="21"/>
                <w:u w:val="none"/>
                <w:lang w:val="en-US" w:eastAsia="zh-CN" w:bidi="ar"/>
              </w:rPr>
              <w:t>经纬公司</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399BACFB">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bl>
    <w:p w14:paraId="0BEBD435">
      <w:pPr>
        <w:spacing w:line="360" w:lineRule="auto"/>
        <w:ind w:firstLine="482" w:firstLineChars="200"/>
        <w:outlineLvl w:val="1"/>
        <w:rPr>
          <w:rFonts w:ascii="Times New Roman" w:hAnsi="Times New Roman"/>
          <w:b/>
          <w:sz w:val="24"/>
          <w:szCs w:val="24"/>
        </w:rPr>
      </w:pPr>
      <w:r>
        <w:rPr>
          <w:rFonts w:hint="eastAsia" w:ascii="Times New Roman" w:hAnsi="Times New Roman"/>
          <w:b/>
          <w:sz w:val="24"/>
          <w:szCs w:val="24"/>
        </w:rPr>
        <w:t>四、</w:t>
      </w:r>
      <w:bookmarkEnd w:id="12"/>
      <w:r>
        <w:rPr>
          <w:rFonts w:hint="eastAsia" w:ascii="Times New Roman" w:hAnsi="Times New Roman"/>
          <w:b/>
          <w:sz w:val="24"/>
          <w:szCs w:val="24"/>
        </w:rPr>
        <w:t>报价要求</w:t>
      </w:r>
    </w:p>
    <w:p w14:paraId="5E696936">
      <w:pPr>
        <w:spacing w:line="360" w:lineRule="auto"/>
        <w:ind w:firstLine="420" w:firstLineChars="200"/>
        <w:outlineLvl w:val="1"/>
        <w:rPr>
          <w:rFonts w:hint="eastAsia" w:ascii="Times New Roman" w:hAnsi="Times New Roman"/>
          <w:color w:val="auto"/>
          <w:sz w:val="21"/>
          <w:szCs w:val="21"/>
          <w:lang w:val="en-US" w:eastAsia="zh-CN"/>
        </w:rPr>
      </w:pPr>
      <w:r>
        <w:rPr>
          <w:rFonts w:hint="eastAsia" w:ascii="Times New Roman" w:hAnsi="Times New Roman"/>
          <w:sz w:val="21"/>
          <w:szCs w:val="21"/>
          <w:lang w:val="en-US" w:eastAsia="zh-CN"/>
        </w:rPr>
        <w:t>1、</w:t>
      </w:r>
      <w:r>
        <w:rPr>
          <w:rFonts w:hint="eastAsia" w:ascii="Times New Roman" w:hAnsi="Times New Roman"/>
          <w:color w:val="auto"/>
          <w:sz w:val="21"/>
          <w:szCs w:val="21"/>
          <w:lang w:val="en-US" w:eastAsia="zh-CN"/>
        </w:rPr>
        <w:t>本项目采用总价报价，投标单位报投标总价不得低于项目最低限价金额，该总价包括但不限于投标单位的人工费、运输费、勘察费、机械费、保险费、福利费、审计费、利润、税金及完成项目应有的全部费用。以投标总价作为评标依据，报价相同的，则采取评标委员会抽签方式确定中标单位。</w:t>
      </w:r>
    </w:p>
    <w:p w14:paraId="3766F672">
      <w:pPr>
        <w:spacing w:line="360" w:lineRule="auto"/>
        <w:ind w:firstLine="420" w:firstLineChars="200"/>
        <w:outlineLvl w:val="1"/>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2、投标人需提前自行对项目现场和周围环境进行勘察，勘查现场所发生的费用由投标人自行承担。</w:t>
      </w:r>
    </w:p>
    <w:p w14:paraId="295EB018">
      <w:pPr>
        <w:spacing w:line="360" w:lineRule="auto"/>
        <w:ind w:firstLine="420" w:firstLineChars="200"/>
        <w:outlineLvl w:val="1"/>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3、投标总价包括本次评估全部内容及工期的成本、利润、税金、运输费、勘察、机械、损耗等所有费用。</w:t>
      </w:r>
    </w:p>
    <w:p w14:paraId="5141D2A6">
      <w:pPr>
        <w:spacing w:line="360" w:lineRule="auto"/>
        <w:ind w:firstLine="420" w:firstLineChars="200"/>
        <w:outlineLvl w:val="1"/>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4、投标报价总价不得低于项目最低限价金额。</w:t>
      </w:r>
    </w:p>
    <w:p w14:paraId="5D633054">
      <w:pPr>
        <w:spacing w:line="360" w:lineRule="auto"/>
        <w:ind w:firstLine="482" w:firstLineChars="200"/>
        <w:outlineLvl w:val="1"/>
        <w:rPr>
          <w:rFonts w:ascii="Times New Roman" w:hAnsi="Times New Roman"/>
          <w:b/>
          <w:sz w:val="24"/>
          <w:szCs w:val="24"/>
        </w:rPr>
      </w:pPr>
      <w:r>
        <w:rPr>
          <w:rFonts w:hint="eastAsia" w:ascii="Times New Roman" w:hAnsi="Times New Roman"/>
          <w:b/>
          <w:sz w:val="24"/>
          <w:szCs w:val="24"/>
        </w:rPr>
        <w:t>五、付款方式</w:t>
      </w:r>
    </w:p>
    <w:bookmarkEnd w:id="13"/>
    <w:p w14:paraId="367C54E5">
      <w:pPr>
        <w:spacing w:line="360" w:lineRule="auto"/>
        <w:ind w:firstLine="420" w:firstLineChars="200"/>
        <w:outlineLvl w:val="1"/>
        <w:rPr>
          <w:rFonts w:hint="eastAsia" w:ascii="Times New Roman" w:hAnsi="Times New Roman"/>
          <w:b w:val="0"/>
          <w:bCs w:val="0"/>
          <w:color w:val="auto"/>
          <w:szCs w:val="21"/>
        </w:rPr>
      </w:pPr>
      <w:r>
        <w:rPr>
          <w:rFonts w:hint="eastAsia" w:ascii="Times New Roman" w:hAnsi="Times New Roman"/>
          <w:b w:val="0"/>
          <w:bCs w:val="0"/>
          <w:color w:val="auto"/>
          <w:sz w:val="21"/>
          <w:szCs w:val="21"/>
        </w:rPr>
        <w:t>乙方须自《资产转让合同》签订之日起3个工作日内向合肥经纬资产经营管理有限公司指定账户（户名：合肥经纬资产经营管理有限公司；开户银行：徽商银行合肥祁门路支行；账号：1020601021000011386）一次性付清全部转让价款。</w:t>
      </w:r>
    </w:p>
    <w:p w14:paraId="5A77D9AB">
      <w:pPr>
        <w:spacing w:line="240" w:lineRule="auto"/>
        <w:jc w:val="left"/>
        <w:outlineLvl w:val="9"/>
        <w:rPr>
          <w:rFonts w:ascii="Times New Roman" w:hAnsi="Times New Roman" w:cs="Times New Roman" w:eastAsiaTheme="minorEastAsia"/>
          <w:b/>
          <w:sz w:val="28"/>
        </w:rPr>
      </w:pPr>
      <w:bookmarkStart w:id="14" w:name="_Toc17615"/>
      <w:r>
        <w:rPr>
          <w:rFonts w:ascii="Times New Roman" w:hAnsi="Times New Roman" w:cs="Times New Roman" w:eastAsiaTheme="minorEastAsia"/>
          <w:b/>
          <w:sz w:val="28"/>
        </w:rPr>
        <w:br w:type="page"/>
      </w:r>
    </w:p>
    <w:p w14:paraId="05740086">
      <w:pPr>
        <w:spacing w:line="360" w:lineRule="auto"/>
        <w:jc w:val="center"/>
        <w:outlineLvl w:val="1"/>
        <w:rPr>
          <w:rFonts w:ascii="Times New Roman" w:hAnsi="Times New Roman" w:cs="Times New Roman" w:eastAsiaTheme="minorEastAsia"/>
          <w:b/>
          <w:sz w:val="28"/>
        </w:rPr>
      </w:pPr>
      <w:r>
        <w:rPr>
          <w:rFonts w:ascii="Times New Roman" w:hAnsi="Times New Roman" w:cs="Times New Roman" w:eastAsiaTheme="minorEastAsia"/>
          <w:b/>
          <w:sz w:val="28"/>
        </w:rPr>
        <w:t>第四章  评审方法和标准</w:t>
      </w:r>
      <w:bookmarkEnd w:id="14"/>
    </w:p>
    <w:p w14:paraId="1153B060">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14:paraId="286219D7">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文件的相关要求及本章的规定评审。</w:t>
      </w:r>
    </w:p>
    <w:p w14:paraId="22E67557">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14:paraId="1566257E">
      <w:pPr>
        <w:spacing w:line="360" w:lineRule="auto"/>
        <w:ind w:firstLine="420" w:firstLineChars="200"/>
        <w:rPr>
          <w:rFonts w:ascii="Times New Roman" w:hAnsi="Times New Roman" w:cs="Times New Roman" w:eastAsiaTheme="minorEastAsia"/>
          <w:szCs w:val="16"/>
        </w:rPr>
      </w:pPr>
      <w:bookmarkStart w:id="15"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w:t>
      </w:r>
      <w:r>
        <w:rPr>
          <w:rFonts w:hint="eastAsia" w:ascii="Times New Roman" w:hAnsi="Times New Roman" w:cs="Times New Roman"/>
          <w:b/>
          <w:szCs w:val="16"/>
          <w:lang w:val="en-US" w:eastAsia="zh-CN"/>
        </w:rPr>
        <w:t>高</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r>
        <w:rPr>
          <w:rFonts w:hint="eastAsia" w:ascii="Times New Roman" w:hAnsi="Times New Roman" w:cs="Times New Roman"/>
          <w:szCs w:val="16"/>
          <w:lang w:eastAsia="zh-CN"/>
        </w:rPr>
        <w:t>，</w:t>
      </w:r>
      <w:r>
        <w:rPr>
          <w:rFonts w:hint="eastAsia" w:ascii="Times New Roman" w:hAnsi="Times New Roman" w:cs="Times New Roman"/>
          <w:b/>
          <w:bCs/>
          <w:szCs w:val="16"/>
          <w:lang w:eastAsia="zh-CN"/>
        </w:rPr>
        <w:t>本项目最低限价为</w:t>
      </w:r>
      <w:r>
        <w:rPr>
          <w:rFonts w:hint="eastAsia" w:ascii="Times New Roman" w:hAnsi="Times New Roman" w:cs="Times New Roman"/>
          <w:b/>
          <w:bCs/>
          <w:szCs w:val="16"/>
          <w:lang w:val="en-US" w:eastAsia="zh-CN"/>
        </w:rPr>
        <w:t>9264元，</w:t>
      </w:r>
      <w:r>
        <w:rPr>
          <w:rFonts w:hint="eastAsia" w:ascii="Times New Roman" w:hAnsi="Times New Roman" w:cs="Times New Roman"/>
          <w:b w:val="0"/>
          <w:bCs w:val="0"/>
          <w:szCs w:val="16"/>
          <w:lang w:val="en-US" w:eastAsia="zh-CN"/>
        </w:rPr>
        <w:t>投标人报价低于最低限价的为无效标</w:t>
      </w:r>
      <w:r>
        <w:rPr>
          <w:rFonts w:ascii="Times New Roman" w:hAnsi="Times New Roman" w:cs="Times New Roman" w:eastAsiaTheme="minorEastAsia"/>
          <w:szCs w:val="16"/>
        </w:rPr>
        <w:t>。</w:t>
      </w:r>
    </w:p>
    <w:p w14:paraId="24D23D1A">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w:t>
      </w:r>
      <w:r>
        <w:rPr>
          <w:rFonts w:hint="eastAsia" w:ascii="Times New Roman" w:hAnsi="Times New Roman" w:cs="Times New Roman"/>
          <w:szCs w:val="16"/>
          <w:lang w:eastAsia="zh-CN"/>
        </w:rPr>
        <w:t>询比</w:t>
      </w:r>
      <w:r>
        <w:rPr>
          <w:rFonts w:ascii="Times New Roman" w:hAnsi="Times New Roman" w:cs="Times New Roman" w:eastAsiaTheme="minorEastAsia"/>
          <w:szCs w:val="16"/>
        </w:rPr>
        <w:t>的投标人所提供的产品或服务价格、性能、质量、服务及对</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文件的符合性及响应性。</w:t>
      </w:r>
    </w:p>
    <w:p w14:paraId="79393F5C">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文件的要求。</w:t>
      </w:r>
    </w:p>
    <w:p w14:paraId="11BDDCA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14:paraId="2BBF943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文件的实质性要求；</w:t>
      </w:r>
    </w:p>
    <w:p w14:paraId="5031B36B">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14:paraId="40F5B16A">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14:paraId="0DEA86B3">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文件认定的其他原则。</w:t>
      </w:r>
    </w:p>
    <w:p w14:paraId="5A88B924">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14:paraId="119BBCBC">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文件规定等情况需要澄清时，评审小组将以询标的方式告知并要求投标人进行必要的澄清、说明或补正。</w:t>
      </w:r>
    </w:p>
    <w:p w14:paraId="6BAA1738">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14:paraId="7D14084F">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14:paraId="757FB0A2">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1"/>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919"/>
        <w:gridCol w:w="5506"/>
      </w:tblGrid>
      <w:tr w14:paraId="72F9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5" w:type="pct"/>
            <w:tcBorders>
              <w:bottom w:val="single" w:color="auto" w:sz="4" w:space="0"/>
            </w:tcBorders>
            <w:vAlign w:val="center"/>
          </w:tcPr>
          <w:p w14:paraId="6372CFF1">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16" w:name="_Hlk16461707"/>
            <w:r>
              <w:rPr>
                <w:rFonts w:ascii="Times New Roman" w:hAnsi="Times New Roman" w:cs="Times New Roman" w:eastAsiaTheme="minorEastAsia"/>
                <w:szCs w:val="21"/>
              </w:rPr>
              <w:t>序号</w:t>
            </w:r>
          </w:p>
        </w:tc>
        <w:tc>
          <w:tcPr>
            <w:tcW w:w="1159" w:type="pct"/>
            <w:tcBorders>
              <w:bottom w:val="single" w:color="auto" w:sz="4" w:space="0"/>
            </w:tcBorders>
            <w:vAlign w:val="center"/>
          </w:tcPr>
          <w:p w14:paraId="7207851D">
            <w:pPr>
              <w:pStyle w:val="3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3324" w:type="pct"/>
            <w:tcBorders>
              <w:bottom w:val="single" w:color="auto" w:sz="4" w:space="0"/>
            </w:tcBorders>
            <w:vAlign w:val="center"/>
          </w:tcPr>
          <w:p w14:paraId="6C730606">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14:paraId="2491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5" w:type="pct"/>
            <w:tcBorders>
              <w:bottom w:val="single" w:color="auto" w:sz="4" w:space="0"/>
            </w:tcBorders>
            <w:vAlign w:val="center"/>
          </w:tcPr>
          <w:p w14:paraId="65E06FD6">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159" w:type="pct"/>
            <w:tcBorders>
              <w:bottom w:val="single" w:color="auto" w:sz="4" w:space="0"/>
            </w:tcBorders>
            <w:vAlign w:val="center"/>
          </w:tcPr>
          <w:p w14:paraId="07C1831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3324" w:type="pct"/>
            <w:tcBorders>
              <w:bottom w:val="single" w:color="auto" w:sz="4" w:space="0"/>
            </w:tcBorders>
            <w:vAlign w:val="center"/>
          </w:tcPr>
          <w:p w14:paraId="2F4BA15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14:paraId="1C44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5" w:type="pct"/>
            <w:vAlign w:val="center"/>
          </w:tcPr>
          <w:p w14:paraId="66A60CBF">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2</w:t>
            </w:r>
          </w:p>
        </w:tc>
        <w:tc>
          <w:tcPr>
            <w:tcW w:w="1159" w:type="pct"/>
            <w:vAlign w:val="center"/>
          </w:tcPr>
          <w:p w14:paraId="594A00BA">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3324" w:type="pct"/>
            <w:vAlign w:val="center"/>
          </w:tcPr>
          <w:p w14:paraId="2BA24311">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文件要求</w:t>
            </w:r>
          </w:p>
        </w:tc>
      </w:tr>
      <w:tr w14:paraId="40C0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5" w:type="pct"/>
            <w:vAlign w:val="center"/>
          </w:tcPr>
          <w:p w14:paraId="0A69D5B8">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3</w:t>
            </w:r>
          </w:p>
        </w:tc>
        <w:tc>
          <w:tcPr>
            <w:tcW w:w="1159" w:type="pct"/>
            <w:vAlign w:val="center"/>
          </w:tcPr>
          <w:p w14:paraId="7E999EA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文件获取情况</w:t>
            </w:r>
          </w:p>
        </w:tc>
        <w:tc>
          <w:tcPr>
            <w:tcW w:w="3324" w:type="pct"/>
            <w:vAlign w:val="center"/>
          </w:tcPr>
          <w:p w14:paraId="1B3C9BA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在</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文件获取截止时间前完成</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文件获取</w:t>
            </w:r>
          </w:p>
        </w:tc>
      </w:tr>
      <w:tr w14:paraId="190E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5" w:type="pct"/>
            <w:vAlign w:val="center"/>
          </w:tcPr>
          <w:p w14:paraId="1AE4F8BD">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4</w:t>
            </w:r>
          </w:p>
        </w:tc>
        <w:tc>
          <w:tcPr>
            <w:tcW w:w="1159" w:type="pct"/>
            <w:vAlign w:val="center"/>
          </w:tcPr>
          <w:p w14:paraId="4C9E9AE7">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其他要求</w:t>
            </w:r>
          </w:p>
        </w:tc>
        <w:tc>
          <w:tcPr>
            <w:tcW w:w="3324" w:type="pct"/>
            <w:vAlign w:val="center"/>
          </w:tcPr>
          <w:p w14:paraId="6553B7A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符合法律、行政法规规定的其他条件或</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文件列明的其他要求。</w:t>
            </w:r>
          </w:p>
        </w:tc>
      </w:tr>
      <w:tr w14:paraId="777D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4FF32687">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14:paraId="291715BD">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评审小组根据表中所列各项指标对投标人是否为有效标进行评审，未列入上表中的指标不得作为否决投标依据。符合评审指标通过标准的，为有效投标。</w:t>
            </w:r>
          </w:p>
        </w:tc>
      </w:tr>
      <w:bookmarkEnd w:id="15"/>
      <w:bookmarkEnd w:id="16"/>
    </w:tbl>
    <w:p w14:paraId="56EBF0C7">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14:paraId="793AE4EB">
      <w:pPr>
        <w:spacing w:line="360" w:lineRule="auto"/>
        <w:ind w:firstLine="420" w:firstLineChars="200"/>
        <w:rPr>
          <w:rFonts w:hint="eastAsia" w:ascii="Times New Roman" w:hAnsi="Times New Roman" w:cs="Times New Roman" w:eastAsiaTheme="minorEastAsia"/>
          <w:szCs w:val="16"/>
        </w:rPr>
      </w:pPr>
      <w:r>
        <w:rPr>
          <w:rFonts w:hint="eastAsia" w:ascii="Times New Roman" w:hAnsi="Times New Roman" w:cs="Times New Roman" w:eastAsiaTheme="minorEastAsia"/>
          <w:szCs w:val="16"/>
        </w:rPr>
        <w:t>8.1对通过评审的有效投标人，按其最终报价由高到低的顺序选出中标人。</w:t>
      </w:r>
    </w:p>
    <w:p w14:paraId="0A9708CA">
      <w:pPr>
        <w:spacing w:line="360" w:lineRule="auto"/>
        <w:ind w:firstLine="420" w:firstLineChars="200"/>
        <w:rPr>
          <w:rFonts w:hint="eastAsia" w:ascii="Times New Roman" w:hAnsi="Times New Roman" w:cs="Times New Roman" w:eastAsiaTheme="minorEastAsia"/>
          <w:szCs w:val="16"/>
        </w:rPr>
      </w:pPr>
      <w:r>
        <w:rPr>
          <w:rFonts w:hint="eastAsia"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14:paraId="5A06FDE3">
      <w:pPr>
        <w:numPr>
          <w:ilvl w:val="0"/>
          <w:numId w:val="3"/>
        </w:numPr>
        <w:spacing w:line="360" w:lineRule="auto"/>
        <w:ind w:firstLine="420" w:firstLineChars="200"/>
        <w:rPr>
          <w:rFonts w:hint="eastAsia" w:ascii="Times New Roman" w:hAnsi="Times New Roman" w:cs="Times New Roman" w:eastAsiaTheme="minorEastAsia"/>
          <w:szCs w:val="16"/>
        </w:rPr>
      </w:pPr>
      <w:r>
        <w:rPr>
          <w:rFonts w:hint="eastAsia" w:ascii="Times New Roman" w:hAnsi="Times New Roman" w:cs="Times New Roman" w:eastAsiaTheme="minorEastAsia"/>
          <w:szCs w:val="16"/>
        </w:rPr>
        <w:t>评审小组在评标过程中发现的问题，应当及时作出处理或者向招标人提出处理建议，并作书面记录。</w:t>
      </w:r>
    </w:p>
    <w:p w14:paraId="68C8B5C1">
      <w:pPr>
        <w:numPr>
          <w:ilvl w:val="0"/>
          <w:numId w:val="0"/>
        </w:num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文件设定的最高投标限价的，评审小组将以询标的方式告知并要求投标人进行必要的说明或补正，经评审小组认定其报价低于成本或者高于</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文件设定的最高投标限价的，将否决其投标。对于询标后判定为不符合</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文件的报价，评委要提出充足的否定理由，并予以书面记录。最终对投标人的评审结论分为通过和未通过。</w:t>
      </w:r>
    </w:p>
    <w:p w14:paraId="39FFDE4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14:paraId="47B8D79E">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2BCD91B4">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14:paraId="2A42458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17" w:name="_Toc30395"/>
      <w:bookmarkStart w:id="18" w:name="_Toc4962"/>
      <w:r>
        <w:rPr>
          <w:rFonts w:ascii="Times New Roman" w:hAnsi="Times New Roman" w:cs="Times New Roman" w:eastAsiaTheme="minorEastAsia"/>
          <w:b/>
          <w:sz w:val="28"/>
        </w:rPr>
        <w:t xml:space="preserve">第五章  </w:t>
      </w:r>
      <w:r>
        <w:rPr>
          <w:rFonts w:hint="eastAsia" w:ascii="Times New Roman" w:hAnsi="Times New Roman" w:cs="Times New Roman"/>
          <w:b/>
          <w:sz w:val="28"/>
          <w:lang w:val="en-US" w:eastAsia="zh-CN"/>
        </w:rPr>
        <w:t>资产转让</w:t>
      </w:r>
      <w:r>
        <w:rPr>
          <w:rFonts w:ascii="Times New Roman" w:hAnsi="Times New Roman" w:cs="Times New Roman" w:eastAsiaTheme="minorEastAsia"/>
          <w:b/>
          <w:sz w:val="28"/>
        </w:rPr>
        <w:t>合同</w:t>
      </w:r>
      <w:bookmarkEnd w:id="17"/>
      <w:bookmarkEnd w:id="18"/>
    </w:p>
    <w:p w14:paraId="1C4BAE2D">
      <w:pPr>
        <w:adjustRightInd w:val="0"/>
        <w:snapToGrid w:val="0"/>
        <w:ind w:firstLine="261" w:firstLineChars="200"/>
        <w:rPr>
          <w:rFonts w:ascii="Times New Roman" w:hAnsi="Times New Roman" w:eastAsia="仿宋_GB2312" w:cs="Times New Roman"/>
          <w:b/>
          <w:bCs/>
          <w:color w:val="000000"/>
          <w:sz w:val="13"/>
          <w:szCs w:val="13"/>
        </w:rPr>
      </w:pPr>
    </w:p>
    <w:p w14:paraId="4A1764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80"/>
        <w:jc w:val="both"/>
        <w:textAlignment w:val="auto"/>
        <w:rPr>
          <w:rFonts w:hint="default" w:ascii="宋体" w:hAnsi="宋体" w:eastAsia="宋体" w:cs="宋体"/>
          <w:i w:val="0"/>
          <w:iCs w:val="0"/>
          <w:caps w:val="0"/>
          <w:color w:val="000000" w:themeColor="text1"/>
          <w:spacing w:val="0"/>
          <w:sz w:val="21"/>
          <w:szCs w:val="21"/>
          <w:u w:val="single"/>
          <w:lang w:val="en-US"/>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转让方（以下简称“甲方”）：</w:t>
      </w:r>
      <w:r>
        <w:rPr>
          <w:rFonts w:hint="eastAsia" w:ascii="宋体" w:hAnsi="宋体" w:eastAsia="宋体" w:cs="宋体"/>
          <w:i w:val="0"/>
          <w:iCs w:val="0"/>
          <w:caps w:val="0"/>
          <w:color w:val="000000" w:themeColor="text1"/>
          <w:spacing w:val="0"/>
          <w:kern w:val="0"/>
          <w:sz w:val="21"/>
          <w:szCs w:val="21"/>
          <w:u w:val="single"/>
          <w:shd w:val="clear" w:fill="FFFFFF"/>
          <w:lang w:val="en-US" w:eastAsia="zh-CN" w:bidi="ar"/>
          <w14:textFill>
            <w14:solidFill>
              <w14:schemeClr w14:val="tx1"/>
            </w14:solidFill>
          </w14:textFill>
        </w:rPr>
        <w:t>合肥经纬资产经营管理有限公司</w:t>
      </w:r>
    </w:p>
    <w:p w14:paraId="4C05C7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受让方（以下简称“乙方”）：</w:t>
      </w:r>
    </w:p>
    <w:p w14:paraId="1F8B3035">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根据《中华人民共和国民法典》等相关法律、法规规定，甲、乙双方遵循自愿、公平、诚实守信原则，经友好协商，签订本资产转让合同（以下简称“本合同”）如下：</w:t>
      </w:r>
    </w:p>
    <w:p w14:paraId="0A168035">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第一条  转让标的</w:t>
      </w:r>
    </w:p>
    <w:p w14:paraId="76DD47A6">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pacing w:val="6"/>
          <w:sz w:val="21"/>
          <w:szCs w:val="21"/>
          <w:highlight w:val="none"/>
          <w:lang w:val="en-US" w:eastAsia="zh-CN"/>
        </w:rPr>
      </w:pPr>
      <w:r>
        <w:rPr>
          <w:rFonts w:hint="eastAsia" w:ascii="宋体" w:hAnsi="宋体" w:eastAsia="宋体" w:cs="宋体"/>
          <w:sz w:val="21"/>
          <w:szCs w:val="21"/>
          <w:lang w:val="en-US" w:eastAsia="zh-CN"/>
        </w:rPr>
        <w:t>转让标的相关描述</w:t>
      </w:r>
      <w:r>
        <w:rPr>
          <w:rFonts w:hint="eastAsia" w:ascii="宋体" w:hAnsi="宋体" w:eastAsia="宋体" w:cs="宋体"/>
          <w:sz w:val="21"/>
          <w:szCs w:val="21"/>
          <w:highlight w:val="none"/>
          <w:lang w:val="en-US" w:eastAsia="zh-CN"/>
        </w:rPr>
        <w:t>：</w:t>
      </w:r>
      <w:r>
        <w:rPr>
          <w:rFonts w:hint="eastAsia" w:ascii="Times New Roman" w:hAnsi="Times New Roman" w:cs="Times New Roman"/>
          <w:szCs w:val="21"/>
          <w:highlight w:val="none"/>
          <w:u w:val="single"/>
          <w:lang w:val="en-US" w:eastAsia="zh-CN"/>
        </w:rPr>
        <w:t>合肥经纬资产经营管理有限公司拟处置一批报废</w:t>
      </w:r>
      <w:r>
        <w:rPr>
          <w:rFonts w:hint="eastAsia" w:ascii="Times New Roman" w:hAnsi="Times New Roman" w:cs="Times New Roman"/>
          <w:szCs w:val="21"/>
          <w:highlight w:val="none"/>
          <w:u w:val="single"/>
          <w:lang w:eastAsia="zh-CN"/>
        </w:rPr>
        <w:t>资产的</w:t>
      </w:r>
      <w:r>
        <w:rPr>
          <w:rFonts w:hint="eastAsia" w:ascii="Times New Roman" w:hAnsi="Times New Roman" w:cs="Times New Roman"/>
          <w:szCs w:val="21"/>
          <w:highlight w:val="none"/>
          <w:u w:val="single"/>
          <w:lang w:val="en-US" w:eastAsia="zh-CN"/>
        </w:rPr>
        <w:t>残余价值</w:t>
      </w:r>
      <w:r>
        <w:rPr>
          <w:rFonts w:hint="eastAsia" w:ascii="Times New Roman" w:hAnsi="Times New Roman" w:cs="Times New Roman"/>
          <w:szCs w:val="21"/>
          <w:highlight w:val="none"/>
          <w:u w:val="single"/>
          <w:lang w:eastAsia="zh-CN"/>
        </w:rPr>
        <w:t>，主要包括</w:t>
      </w:r>
      <w:r>
        <w:rPr>
          <w:rFonts w:hint="eastAsia" w:ascii="Times New Roman" w:hAnsi="Times New Roman" w:cs="Times New Roman" w:eastAsiaTheme="minorEastAsia"/>
          <w:sz w:val="21"/>
          <w:szCs w:val="21"/>
          <w:highlight w:val="none"/>
          <w:u w:val="single"/>
          <w:lang w:val="en-US" w:eastAsia="zh-CN"/>
        </w:rPr>
        <w:t>FS420蜘蛛式高空平台、综合馆吧台、联想电脑</w:t>
      </w:r>
      <w:r>
        <w:rPr>
          <w:rFonts w:hint="eastAsia" w:asciiTheme="minorEastAsia" w:hAnsiTheme="minorEastAsia" w:cstheme="minorEastAsia"/>
          <w:spacing w:val="6"/>
          <w:sz w:val="21"/>
          <w:szCs w:val="21"/>
          <w:highlight w:val="none"/>
          <w:lang w:val="en-US" w:eastAsia="zh-CN"/>
        </w:rPr>
        <w:t>，</w:t>
      </w:r>
      <w:r>
        <w:rPr>
          <w:rFonts w:hint="eastAsia" w:ascii="宋体" w:hAnsi="宋体" w:eastAsia="宋体" w:cs="宋体"/>
          <w:spacing w:val="6"/>
          <w:sz w:val="21"/>
          <w:szCs w:val="21"/>
          <w:highlight w:val="none"/>
          <w:lang w:val="en-US" w:eastAsia="zh-CN"/>
        </w:rPr>
        <w:t>详见《转让标的清单》。</w:t>
      </w:r>
    </w:p>
    <w:p w14:paraId="631E1E84">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pacing w:val="6"/>
          <w:sz w:val="21"/>
          <w:szCs w:val="21"/>
          <w:highlight w:val="none"/>
          <w:lang w:val="en-US" w:eastAsia="zh-CN"/>
        </w:rPr>
      </w:pPr>
      <w:r>
        <w:rPr>
          <w:rFonts w:hint="eastAsia" w:ascii="宋体" w:hAnsi="宋体" w:eastAsia="宋体" w:cs="宋体"/>
          <w:sz w:val="21"/>
          <w:szCs w:val="21"/>
          <w:lang w:val="en-US" w:eastAsia="zh-CN"/>
        </w:rPr>
        <w:t>转让标的详细情况见广东信德资产评估与房地产土地估价有限公司</w:t>
      </w:r>
      <w:r>
        <w:rPr>
          <w:rFonts w:hint="eastAsia" w:ascii="宋体" w:hAnsi="宋体" w:eastAsia="宋体" w:cs="宋体"/>
          <w:spacing w:val="6"/>
          <w:sz w:val="21"/>
          <w:szCs w:val="21"/>
          <w:highlight w:val="none"/>
          <w:lang w:val="en-US" w:eastAsia="zh-CN"/>
        </w:rPr>
        <w:t>出具的信德评报字（2026）第Z00036号（AH）《资产评估报告书》。</w:t>
      </w:r>
    </w:p>
    <w:p w14:paraId="3BB0A4F9">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第二条　  甲方的声明、保证和承诺</w:t>
      </w:r>
    </w:p>
    <w:p w14:paraId="704BAD54">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（一）对转让标的拥有有效的处分权；</w:t>
      </w:r>
    </w:p>
    <w:p w14:paraId="637A49D5">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（二）为签订本合同之目的向乙方提交的各项证明文件及资料均为真实、完整的；</w:t>
      </w:r>
    </w:p>
    <w:p w14:paraId="042F7E55">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（三）签订本合同所需的包括但不限于授权、审批、公司内部决策等在内的一切批准手续均已取得，本合同成立的前提及先决条件均已满足；</w:t>
      </w:r>
    </w:p>
    <w:p w14:paraId="23BFCBA6">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（四）本合同的签署与履行没有违反对甲方已签署的合同、协议及所有法律文件；</w:t>
      </w:r>
    </w:p>
    <w:p w14:paraId="3B27FA28">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（五）给予一切合理及必要的协助，以完成本合同项下转让标的所需的有关政府主管部门的批准和变更。</w:t>
      </w:r>
    </w:p>
    <w:p w14:paraId="3FACF5A0">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第三条   乙方的声明、保证和承诺</w:t>
      </w:r>
    </w:p>
    <w:p w14:paraId="0BD15C2C">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（一）具有签订和履行本合同的能力；</w:t>
      </w:r>
    </w:p>
    <w:p w14:paraId="268EA742">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（二）签订本合同所需的各项授权、审批，以及内部决策等在内的一切批准手续均已合法有效取得；</w:t>
      </w:r>
    </w:p>
    <w:p w14:paraId="272C4583">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第四条　 转让价格及价款支付方式</w:t>
      </w:r>
    </w:p>
    <w:p w14:paraId="3579509C">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（一）转让价格：</w:t>
      </w:r>
    </w:p>
    <w:p w14:paraId="79B0BE23">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甲方将转让标的以人民币</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元（大写</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，以下简称“转让价款”）转让给乙方，根据资产处置清单情况，可开具增值税发票（税率届时按国家最新税率政策或最新税控软件确定）。</w:t>
      </w:r>
    </w:p>
    <w:p w14:paraId="59C7F6C3">
      <w:pPr>
        <w:keepNext w:val="0"/>
        <w:keepLines w:val="0"/>
        <w:pageBreakBefore w:val="0"/>
        <w:kinsoku/>
        <w:wordWrap/>
        <w:overflowPunct/>
        <w:topLinePunct w:val="0"/>
        <w:autoSpaceDE/>
        <w:autoSpaceDN/>
        <w:bidi w:val="0"/>
        <w:spacing w:line="56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（二）价款支付方式：</w:t>
      </w:r>
    </w:p>
    <w:p w14:paraId="46C9B5A4">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spacing w:val="6"/>
          <w:sz w:val="21"/>
          <w:szCs w:val="21"/>
          <w:lang w:val="en-US" w:eastAsia="zh-CN"/>
        </w:rPr>
      </w:pPr>
      <w:r>
        <w:rPr>
          <w:rFonts w:hint="eastAsia" w:ascii="宋体" w:hAnsi="宋体" w:eastAsia="宋体" w:cs="宋体"/>
          <w:sz w:val="21"/>
          <w:szCs w:val="21"/>
          <w:lang w:val="en-US" w:eastAsia="zh-CN"/>
        </w:rPr>
        <w:t>乙方须自《资产转让合同》签订之日起3个工作日内</w:t>
      </w:r>
      <w:r>
        <w:rPr>
          <w:rFonts w:hint="eastAsia" w:ascii="宋体" w:hAnsi="宋体" w:eastAsia="宋体" w:cs="宋体"/>
          <w:spacing w:val="6"/>
          <w:sz w:val="21"/>
          <w:szCs w:val="21"/>
          <w:lang w:val="en-US" w:eastAsia="zh-CN"/>
        </w:rPr>
        <w:t>向合肥经纬资产经营管理有限公司指定账户，一次性付清全部转让价款：</w:t>
      </w:r>
    </w:p>
    <w:p w14:paraId="25AB9101">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户名：</w:t>
      </w:r>
      <w:r>
        <w:rPr>
          <w:rFonts w:hint="eastAsia" w:ascii="宋体" w:hAnsi="宋体" w:eastAsia="宋体" w:cs="宋体"/>
          <w:spacing w:val="6"/>
          <w:sz w:val="21"/>
          <w:szCs w:val="21"/>
          <w:u w:val="single"/>
          <w:lang w:val="en-US" w:eastAsia="zh-CN"/>
        </w:rPr>
        <w:t>合肥经纬资产经营管理有限公司</w:t>
      </w:r>
    </w:p>
    <w:p w14:paraId="3861ACE0">
      <w:pPr>
        <w:keepNext w:val="0"/>
        <w:keepLines w:val="0"/>
        <w:pageBreakBefore w:val="0"/>
        <w:widowControl/>
        <w:kinsoku/>
        <w:wordWrap/>
        <w:overflowPunct/>
        <w:topLinePunct w:val="0"/>
        <w:autoSpaceDE/>
        <w:autoSpaceDN/>
        <w:bidi w:val="0"/>
        <w:adjustRightInd/>
        <w:snapToGrid/>
        <w:spacing w:line="560" w:lineRule="exact"/>
        <w:ind w:firstLine="444" w:firstLineChars="200"/>
        <w:textAlignment w:val="auto"/>
        <w:rPr>
          <w:rFonts w:hint="eastAsia" w:ascii="宋体" w:hAnsi="宋体" w:eastAsia="宋体" w:cs="宋体"/>
          <w:spacing w:val="6"/>
          <w:sz w:val="21"/>
          <w:szCs w:val="21"/>
          <w:u w:val="single"/>
          <w:lang w:val="en-US" w:eastAsia="zh-CN"/>
        </w:rPr>
      </w:pPr>
      <w:r>
        <w:rPr>
          <w:rFonts w:hint="eastAsia" w:ascii="宋体" w:hAnsi="宋体" w:eastAsia="宋体" w:cs="宋体"/>
          <w:spacing w:val="6"/>
          <w:sz w:val="21"/>
          <w:szCs w:val="21"/>
          <w:lang w:val="en-US" w:eastAsia="zh-CN"/>
        </w:rPr>
        <w:t>账号：</w:t>
      </w:r>
      <w:r>
        <w:rPr>
          <w:rFonts w:hint="eastAsia" w:ascii="宋体" w:hAnsi="宋体" w:eastAsia="宋体" w:cs="宋体"/>
          <w:spacing w:val="6"/>
          <w:sz w:val="21"/>
          <w:szCs w:val="21"/>
          <w:u w:val="single"/>
          <w:lang w:val="en-US" w:eastAsia="zh-CN"/>
        </w:rPr>
        <w:t>1020601021000011386</w:t>
      </w:r>
    </w:p>
    <w:p w14:paraId="44720C8C">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宋体" w:hAnsi="宋体" w:eastAsia="宋体" w:cs="宋体"/>
          <w:spacing w:val="6"/>
          <w:sz w:val="21"/>
          <w:szCs w:val="21"/>
          <w:u w:val="single"/>
          <w:lang w:val="en-US" w:eastAsia="zh-CN"/>
        </w:rPr>
      </w:pPr>
      <w:r>
        <w:rPr>
          <w:rFonts w:hint="eastAsia" w:ascii="宋体" w:hAnsi="宋体" w:eastAsia="宋体" w:cs="宋体"/>
          <w:spacing w:val="6"/>
          <w:sz w:val="21"/>
          <w:szCs w:val="21"/>
          <w:lang w:val="en-US" w:eastAsia="zh-CN"/>
        </w:rPr>
        <w:t>开户银行：</w:t>
      </w:r>
      <w:r>
        <w:rPr>
          <w:rFonts w:hint="eastAsia" w:ascii="宋体" w:hAnsi="宋体" w:eastAsia="宋体" w:cs="宋体"/>
          <w:spacing w:val="6"/>
          <w:sz w:val="21"/>
          <w:szCs w:val="21"/>
          <w:u w:val="single"/>
          <w:lang w:val="en-US" w:eastAsia="zh-CN"/>
        </w:rPr>
        <w:t>徽商银行合肥祁门路支行</w:t>
      </w:r>
    </w:p>
    <w:p w14:paraId="216CEE47">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第五条　转让标的交割事项</w:t>
      </w:r>
    </w:p>
    <w:p w14:paraId="5DB39742">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b w:val="0"/>
          <w:bCs/>
          <w:color w:val="auto"/>
          <w:spacing w:val="6"/>
          <w:sz w:val="21"/>
          <w:szCs w:val="21"/>
          <w:highlight w:val="none"/>
          <w:lang w:val="en-US" w:eastAsia="zh-CN"/>
        </w:rPr>
      </w:pPr>
      <w:r>
        <w:rPr>
          <w:rFonts w:hint="eastAsia" w:ascii="宋体" w:hAnsi="宋体" w:eastAsia="宋体" w:cs="宋体"/>
          <w:sz w:val="21"/>
          <w:szCs w:val="21"/>
          <w:lang w:val="en-US" w:eastAsia="zh-CN"/>
        </w:rPr>
        <w:t>（一）</w:t>
      </w:r>
      <w:r>
        <w:rPr>
          <w:rFonts w:hint="eastAsia" w:ascii="宋体" w:hAnsi="宋体" w:eastAsia="宋体" w:cs="宋体"/>
          <w:b w:val="0"/>
          <w:bCs/>
          <w:spacing w:val="6"/>
          <w:sz w:val="21"/>
          <w:szCs w:val="21"/>
          <w:highlight w:val="none"/>
          <w:lang w:val="en-US" w:eastAsia="zh-CN"/>
        </w:rPr>
        <w:t>标的以现</w:t>
      </w:r>
      <w:r>
        <w:rPr>
          <w:rFonts w:hint="eastAsia" w:ascii="宋体" w:hAnsi="宋体" w:eastAsia="宋体" w:cs="宋体"/>
          <w:b w:val="0"/>
          <w:bCs/>
          <w:color w:val="auto"/>
          <w:spacing w:val="6"/>
          <w:sz w:val="21"/>
          <w:szCs w:val="21"/>
          <w:highlight w:val="none"/>
          <w:lang w:val="en-US" w:eastAsia="zh-CN"/>
        </w:rPr>
        <w:t>状移交，以转让资产清单为限，乙方在本合同签订时已自行了解标的权属关系和可能涉及的相关法律法规及政策规定，自行承担因政策变化带来的一切后果及责任。乙方已实地踏勘转让标的，确认了标的范围、数量、重量、体积、面积、成新度和功能情况等，并认可转让资产现状及转让要求，自愿承担因上述原因导致的一切后果和法律责任。</w:t>
      </w:r>
    </w:p>
    <w:p w14:paraId="5D86C2D2">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z w:val="21"/>
          <w:szCs w:val="21"/>
          <w:lang w:val="en-US" w:eastAsia="zh-CN"/>
        </w:rPr>
        <w:t>（二）</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须在甲方指定的场地进行验收和交接标的，不得在甲方场地对标的进行分解、拆解。自转让价款全部付清之日起3个工作日内，甲方协助</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办理资产交接等手续。</w:t>
      </w:r>
    </w:p>
    <w:p w14:paraId="297D1E21">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z w:val="21"/>
          <w:szCs w:val="21"/>
          <w:lang w:val="en-US" w:eastAsia="zh-CN"/>
        </w:rPr>
        <w:t>（三）转让资产由乙方负责拆卸、搬运或残余物处置过程中造成人身伤亡、财产损失（包括但不限于转让资产）的，由此产生的一切经济赔偿责任和法律后果均由乙方自行承担。</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b w:val="0"/>
          <w:bCs w:val="0"/>
          <w:color w:val="auto"/>
          <w:spacing w:val="6"/>
          <w:sz w:val="21"/>
          <w:szCs w:val="21"/>
          <w:highlight w:val="none"/>
          <w:lang w:val="en-US" w:eastAsia="zh-CN"/>
        </w:rPr>
        <w:t>须在签订《资产转让合同》之日起5日内完成标的运输工作。</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b w:val="0"/>
          <w:bCs w:val="0"/>
          <w:color w:val="auto"/>
          <w:spacing w:val="6"/>
          <w:sz w:val="21"/>
          <w:szCs w:val="21"/>
          <w:highlight w:val="none"/>
          <w:lang w:val="en-US" w:eastAsia="zh-CN"/>
        </w:rPr>
        <w:t>须服从</w:t>
      </w:r>
      <w:r>
        <w:rPr>
          <w:rFonts w:hint="eastAsia" w:ascii="宋体" w:hAnsi="宋体" w:eastAsia="宋体" w:cs="宋体"/>
          <w:color w:val="auto"/>
          <w:spacing w:val="6"/>
          <w:sz w:val="21"/>
          <w:szCs w:val="21"/>
          <w:highlight w:val="none"/>
          <w:lang w:val="en-US" w:eastAsia="zh-CN"/>
        </w:rPr>
        <w:t>甲方</w:t>
      </w:r>
      <w:r>
        <w:rPr>
          <w:rFonts w:hint="eastAsia" w:ascii="宋体" w:hAnsi="宋体" w:eastAsia="宋体" w:cs="宋体"/>
          <w:b w:val="0"/>
          <w:bCs w:val="0"/>
          <w:color w:val="auto"/>
          <w:spacing w:val="6"/>
          <w:sz w:val="21"/>
          <w:szCs w:val="21"/>
          <w:highlight w:val="none"/>
          <w:lang w:val="en-US" w:eastAsia="zh-CN"/>
        </w:rPr>
        <w:t>安排并按照转让合同的约定在规定时间</w:t>
      </w:r>
      <w:r>
        <w:rPr>
          <w:rFonts w:hint="eastAsia" w:ascii="宋体" w:hAnsi="宋体" w:eastAsia="宋体" w:cs="宋体"/>
          <w:color w:val="auto"/>
          <w:spacing w:val="6"/>
          <w:sz w:val="21"/>
          <w:szCs w:val="21"/>
          <w:highlight w:val="none"/>
          <w:lang w:val="en-US" w:eastAsia="zh-CN"/>
        </w:rPr>
        <w:t>内将标的物拖运完毕，交接后的运输、拆解等相关费用由</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承担，</w:t>
      </w:r>
      <w:r>
        <w:rPr>
          <w:rFonts w:hint="eastAsia" w:ascii="宋体" w:hAnsi="宋体" w:eastAsia="宋体" w:cs="宋体"/>
          <w:b w:val="0"/>
          <w:bCs w:val="0"/>
          <w:color w:val="auto"/>
          <w:spacing w:val="6"/>
          <w:sz w:val="21"/>
          <w:szCs w:val="21"/>
          <w:highlight w:val="none"/>
          <w:lang w:val="en-US" w:eastAsia="zh-CN"/>
        </w:rPr>
        <w:t>交接后的交通安全及其他一切法律责任均由</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b w:val="0"/>
          <w:bCs w:val="0"/>
          <w:color w:val="auto"/>
          <w:spacing w:val="6"/>
          <w:sz w:val="21"/>
          <w:szCs w:val="21"/>
          <w:highlight w:val="none"/>
          <w:lang w:val="en-US" w:eastAsia="zh-CN"/>
        </w:rPr>
        <w:t>负责。</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b w:val="0"/>
          <w:bCs w:val="0"/>
          <w:color w:val="auto"/>
          <w:spacing w:val="6"/>
          <w:sz w:val="21"/>
          <w:szCs w:val="21"/>
          <w:highlight w:val="none"/>
          <w:lang w:val="en-US" w:eastAsia="zh-CN"/>
        </w:rPr>
        <w:t>须在完</w:t>
      </w:r>
      <w:r>
        <w:rPr>
          <w:rFonts w:hint="eastAsia" w:ascii="宋体" w:hAnsi="宋体" w:eastAsia="宋体" w:cs="宋体"/>
          <w:color w:val="auto"/>
          <w:spacing w:val="6"/>
          <w:sz w:val="21"/>
          <w:szCs w:val="21"/>
          <w:highlight w:val="none"/>
          <w:lang w:val="en-US" w:eastAsia="zh-CN"/>
        </w:rPr>
        <w:t>成标的运输工作之日起3个工作日内办理完毕资产交接手续，</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须遵守国家、省、市相关再生资源利用方面的法律、法规和政策规定，否则由此引起的一切责任均由</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承担。转让标的拆卸、清运、残料处置等工作须按照国家安全生产、环境保护等相关法律、法规执行，服从甲方有关工作时间、人员、物品出入及安全生产等方面的现场监督与管理，并遵守如下规定：</w:t>
      </w:r>
    </w:p>
    <w:p w14:paraId="7EC1219B">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①如在拆除过程中遇到特种作业的，须派持有特种作业操作证（如金属焊接切割等专业）的作业人员进行安全操作；</w:t>
      </w:r>
    </w:p>
    <w:p w14:paraId="457A8B3C">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②如遇到特殊情况需要由具备相关资质的施工企业进行施工的（如爆破拆除），</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须委托具有相关资质的单位进行拆除工作，</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所委托的拆除人员及施工单位的资质证明等相关资料应交给甲方备案存档。</w:t>
      </w:r>
    </w:p>
    <w:p w14:paraId="06AF3260">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③如在对转让标的拆卸、搬运或残余物处置过程中造成人身伤亡、财产损失的，由此产生的一切经济赔偿责任和法律后果均由</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自行承担。</w:t>
      </w:r>
    </w:p>
    <w:p w14:paraId="4E39A51E">
      <w:pPr>
        <w:keepNext w:val="0"/>
        <w:keepLines w:val="0"/>
        <w:pageBreakBefore w:val="0"/>
        <w:numPr>
          <w:ilvl w:val="0"/>
          <w:numId w:val="0"/>
        </w:numPr>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乙方须承诺：移交转让标的时，若在拆除过程中遇到特种作业的，须派持有特种作业操作证（如金属焊接切割等专业）的作业人员进行安全操作。若遇到特殊情况需要由具备相关资质的施工企业进行施工的（如爆破拆除），乙方须委托具有相关资质的单位进行拆除工作，乙方请在报名时将相关资格证书以及资质延续核准证明、委托书及社保证明等相关资料应交给甲方备案存档。在对转让标的拆卸、搬运或残余物处置过程中如果造成人身伤亡、财产损失的，由此产生的一切经济赔偿责任和法律后果均由乙方自行承担。</w:t>
      </w:r>
    </w:p>
    <w:p w14:paraId="46BD5F0D">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（五）转让资产</w:t>
      </w:r>
      <w:r>
        <w:rPr>
          <w:rFonts w:hint="eastAsia" w:ascii="宋体" w:hAnsi="宋体" w:eastAsia="宋体" w:cs="宋体"/>
          <w:color w:val="auto"/>
          <w:sz w:val="21"/>
          <w:szCs w:val="21"/>
        </w:rPr>
        <w:t>中可能包含有《废弃电器电子产品处理管理条例》所列废弃电器电子产品，</w:t>
      </w:r>
      <w:r>
        <w:rPr>
          <w:rFonts w:hint="eastAsia" w:ascii="宋体" w:hAnsi="宋体" w:eastAsia="宋体" w:cs="宋体"/>
          <w:color w:val="auto"/>
          <w:sz w:val="21"/>
          <w:szCs w:val="21"/>
          <w:lang w:val="en-US" w:eastAsia="zh-CN"/>
        </w:rPr>
        <w:t>乙</w:t>
      </w:r>
      <w:r>
        <w:rPr>
          <w:rFonts w:hint="eastAsia" w:ascii="宋体" w:hAnsi="宋体" w:eastAsia="宋体" w:cs="宋体"/>
          <w:color w:val="auto"/>
          <w:sz w:val="21"/>
          <w:szCs w:val="21"/>
        </w:rPr>
        <w:t>方</w:t>
      </w:r>
      <w:r>
        <w:rPr>
          <w:rFonts w:hint="eastAsia" w:ascii="宋体" w:hAnsi="宋体" w:eastAsia="宋体" w:cs="宋体"/>
          <w:color w:val="auto"/>
          <w:sz w:val="21"/>
          <w:szCs w:val="21"/>
          <w:lang w:val="en-US" w:eastAsia="zh-CN"/>
        </w:rPr>
        <w:t>签订本合同时已</w:t>
      </w:r>
      <w:r>
        <w:rPr>
          <w:rFonts w:hint="eastAsia" w:ascii="宋体" w:hAnsi="宋体" w:eastAsia="宋体" w:cs="宋体"/>
          <w:color w:val="auto"/>
          <w:sz w:val="21"/>
          <w:szCs w:val="21"/>
        </w:rPr>
        <w:t>自行对转让标的进行全面了解，并对照《废弃电器电子产品处理管理条例》及《废弃电器电子产品处理目录》对转让标的进行勘察。根据《废弃电器电子产品回收处理管理条例》（国务院令第551号）的规定，列入《废弃电器电子产品处理目录》的废弃电器电子产品的处理活动是指将废弃电器电子产品进行拆解，从中提取物质作为原材料或燃料，用改变废弃电器电子产品物理、化学特性的方法减少已产生的废弃电器电子产品数量，减少或消除其危害成分，以及将其最终置于符合环境保护要求的填埋场的活动，不包括产品维修、翻新以及经维修、翻新后作为旧货再使用的活动。</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对列入《废弃电器电子产品处理目录》的废弃电器电子产品的处理活动应当取得废弃电器电子产品处理资格；未取得处理资格的，应当将其交由有废弃电器电子产品处理资格的处理企业处理。</w:t>
      </w:r>
      <w:r>
        <w:rPr>
          <w:rFonts w:hint="eastAsia" w:ascii="宋体" w:hAnsi="宋体" w:eastAsia="宋体" w:cs="宋体"/>
          <w:color w:val="auto"/>
          <w:sz w:val="21"/>
          <w:szCs w:val="21"/>
          <w:lang w:val="en-US" w:eastAsia="zh-CN"/>
        </w:rPr>
        <w:t>若乙方未按照上述要求完成对废弃电子产品的处理，一切责任由乙方自行承担。</w:t>
      </w:r>
    </w:p>
    <w:p w14:paraId="696A5112">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第六条　转让税费的承担</w:t>
      </w:r>
    </w:p>
    <w:p w14:paraId="725C920A">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转让过程中涉及的相关税费等，均由乙方承担。</w:t>
      </w:r>
    </w:p>
    <w:p w14:paraId="27151817">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第七条 特别约定</w:t>
      </w:r>
    </w:p>
    <w:p w14:paraId="2DA3048E">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甲、乙双方必须严格按照产权转让公告及有关承诺签订资产转让合同，不得擅自变更。甲、乙双方不得再行订立背离合同实质性内容的其他协议。对因双方擅自变更合同引起的合同风险及任何问题由双方自行承担。</w:t>
      </w:r>
    </w:p>
    <w:p w14:paraId="277B126B">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第八条 违约责任</w:t>
      </w:r>
    </w:p>
    <w:p w14:paraId="348D79E6">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（一）因任何一方违约而给守约方造成损失的，违约方应赔偿守约方的损失。</w:t>
      </w:r>
    </w:p>
    <w:p w14:paraId="11164C84">
      <w:pPr>
        <w:keepNext w:val="0"/>
        <w:keepLines w:val="0"/>
        <w:pageBreakBefore w:val="0"/>
        <w:kinsoku/>
        <w:wordWrap/>
        <w:overflowPunct/>
        <w:topLinePunct w:val="0"/>
        <w:autoSpaceDE/>
        <w:autoSpaceDN/>
        <w:bidi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如乙方未能按照本合同第四条约定支付转让价款，每逾期一日，按1000元的标准向甲方支付逾期付款违约金，逾期超过3日，甲方有权解除合同，并要求乙方赔偿合同标的额30%的违约金，违约金不足以弥补甲方损失的，还应补足损失。</w:t>
      </w:r>
    </w:p>
    <w:p w14:paraId="7DC30781">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（三）如乙方未能按照本合同“第五条 转让标的交割事项”约定完成资产运输及报废，每迟延1天，甲方有权在本合同规定的最后的期限次日起按每日1000元的标准向乙方追究违约责任，若乙方逾期超过5日仍未继续履行合同，甲方有权解除合同，并要求乙方赔偿合同标的额30%的违约金，违约金不足以弥补甲方损失的，还应补足损失。</w:t>
      </w:r>
    </w:p>
    <w:p w14:paraId="1A88B748">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第九条 争议的解决方式</w:t>
      </w:r>
    </w:p>
    <w:p w14:paraId="749717F2">
      <w:pPr>
        <w:keepNext w:val="0"/>
        <w:keepLines w:val="0"/>
        <w:pageBreakBefore w:val="0"/>
        <w:kinsoku/>
        <w:wordWrap/>
        <w:overflowPunct/>
        <w:topLinePunct w:val="0"/>
        <w:autoSpaceDE/>
        <w:autoSpaceDN/>
        <w:bidi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本合同在履行中发生争议，由甲、乙双方协商解决。协商不成的，甲、乙双方同意向甲方所在地区人民法院起诉。因乙方违约造成甲方损失的，乙方还应赔偿甲方为维护自身合法权益而支出的包括但不限于诉讼费、律师费、差旅费、文印费、诉讼保全保险费等一切支出。</w:t>
      </w:r>
    </w:p>
    <w:p w14:paraId="61E32C54">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第十条 合同的生效</w:t>
      </w:r>
    </w:p>
    <w:p w14:paraId="71518FB8">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本合同经甲、乙双方法定代表人或授权代表签字、盖章后生效。</w:t>
      </w:r>
    </w:p>
    <w:p w14:paraId="38FE9AEF">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第十一条 其他约定事项</w:t>
      </w:r>
    </w:p>
    <w:p w14:paraId="483752EA">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本合同一式四份，其中甲方执三份，乙方执一份。</w:t>
      </w:r>
    </w:p>
    <w:p w14:paraId="43DE693E">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color w:val="auto"/>
          <w:sz w:val="24"/>
          <w:szCs w:val="24"/>
        </w:rPr>
      </w:pPr>
      <w:r>
        <w:rPr>
          <w:rFonts w:hint="eastAsia" w:ascii="Times New Roman" w:hAnsi="Times New Roman" w:cs="Times New Roman" w:eastAsiaTheme="minorEastAsia"/>
          <w:color w:val="auto"/>
          <w:sz w:val="24"/>
          <w:szCs w:val="24"/>
          <w:lang w:val="en-US" w:eastAsia="zh-CN"/>
        </w:rPr>
        <w:t> </w:t>
      </w:r>
    </w:p>
    <w:p w14:paraId="4BE4E7B0">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color w:val="auto"/>
          <w:szCs w:val="16"/>
        </w:rPr>
      </w:pPr>
      <w:r>
        <w:rPr>
          <w:rFonts w:hint="eastAsia" w:ascii="Times New Roman" w:hAnsi="Times New Roman" w:cs="Times New Roman" w:eastAsiaTheme="minorEastAsia"/>
          <w:color w:val="auto"/>
          <w:szCs w:val="16"/>
          <w:lang w:val="en-US" w:eastAsia="zh-CN"/>
        </w:rPr>
        <w:t> </w:t>
      </w:r>
    </w:p>
    <w:p w14:paraId="1CAEB016">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color w:val="auto"/>
          <w:szCs w:val="16"/>
        </w:rPr>
      </w:pPr>
      <w:r>
        <w:rPr>
          <w:rFonts w:hint="eastAsia" w:ascii="Times New Roman" w:hAnsi="Times New Roman" w:cs="Times New Roman" w:eastAsiaTheme="minorEastAsia"/>
          <w:color w:val="auto"/>
          <w:szCs w:val="16"/>
          <w:lang w:val="en-US" w:eastAsia="zh-CN"/>
        </w:rPr>
        <w:t>甲方（盖章）：                   </w:t>
      </w:r>
      <w:r>
        <w:rPr>
          <w:rFonts w:hint="eastAsia" w:ascii="Times New Roman" w:hAnsi="Times New Roman" w:cs="Times New Roman"/>
          <w:color w:val="auto"/>
          <w:szCs w:val="16"/>
          <w:lang w:val="en-US" w:eastAsia="zh-CN"/>
        </w:rPr>
        <w:t xml:space="preserve">                   </w:t>
      </w:r>
      <w:r>
        <w:rPr>
          <w:rFonts w:hint="eastAsia" w:ascii="Times New Roman" w:hAnsi="Times New Roman" w:cs="Times New Roman" w:eastAsiaTheme="minorEastAsia"/>
          <w:color w:val="auto"/>
          <w:szCs w:val="16"/>
          <w:lang w:val="en-US" w:eastAsia="zh-CN"/>
        </w:rPr>
        <w:t>乙方（盖章）：</w:t>
      </w:r>
    </w:p>
    <w:p w14:paraId="52CB981A">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color w:val="auto"/>
          <w:szCs w:val="16"/>
        </w:rPr>
      </w:pPr>
      <w:r>
        <w:rPr>
          <w:rFonts w:hint="eastAsia" w:ascii="Times New Roman" w:hAnsi="Times New Roman" w:cs="Times New Roman" w:eastAsiaTheme="minorEastAsia"/>
          <w:color w:val="auto"/>
          <w:szCs w:val="16"/>
          <w:lang w:val="en-US" w:eastAsia="zh-CN"/>
        </w:rPr>
        <w:t>法定代表人/授权代表：           </w:t>
      </w:r>
      <w:r>
        <w:rPr>
          <w:rFonts w:hint="eastAsia" w:ascii="Times New Roman" w:hAnsi="Times New Roman" w:cs="Times New Roman"/>
          <w:color w:val="auto"/>
          <w:szCs w:val="16"/>
          <w:lang w:val="en-US" w:eastAsia="zh-CN"/>
        </w:rPr>
        <w:t xml:space="preserve">               </w:t>
      </w:r>
      <w:r>
        <w:rPr>
          <w:rFonts w:hint="eastAsia" w:ascii="Times New Roman" w:hAnsi="Times New Roman" w:cs="Times New Roman" w:eastAsiaTheme="minorEastAsia"/>
          <w:color w:val="auto"/>
          <w:szCs w:val="16"/>
          <w:lang w:val="en-US" w:eastAsia="zh-CN"/>
        </w:rPr>
        <w:t> 法定代表人/授权代表：</w:t>
      </w:r>
    </w:p>
    <w:p w14:paraId="5090D07D">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color w:val="auto"/>
          <w:szCs w:val="16"/>
        </w:rPr>
      </w:pPr>
      <w:r>
        <w:rPr>
          <w:rFonts w:hint="eastAsia" w:ascii="Times New Roman" w:hAnsi="Times New Roman" w:cs="Times New Roman" w:eastAsiaTheme="minorEastAsia"/>
          <w:color w:val="auto"/>
          <w:szCs w:val="16"/>
          <w:lang w:val="en-US" w:eastAsia="zh-CN"/>
        </w:rPr>
        <w:t> </w:t>
      </w:r>
    </w:p>
    <w:p w14:paraId="0CDC84FA">
      <w:pPr>
        <w:adjustRightInd w:val="0"/>
        <w:snapToGrid w:val="0"/>
        <w:spacing w:line="500" w:lineRule="exact"/>
        <w:ind w:firstLine="420" w:firstLineChars="200"/>
        <w:rPr>
          <w:rFonts w:hint="eastAsia" w:ascii="Times New Roman" w:hAnsi="Times New Roman" w:cs="Times New Roman" w:eastAsiaTheme="minorEastAsia"/>
          <w:color w:val="auto"/>
          <w:szCs w:val="16"/>
          <w:lang w:val="en-US" w:eastAsia="zh-CN"/>
        </w:rPr>
      </w:pPr>
      <w:r>
        <w:rPr>
          <w:rFonts w:hint="eastAsia" w:ascii="Times New Roman" w:hAnsi="Times New Roman" w:cs="Times New Roman" w:eastAsiaTheme="minorEastAsia"/>
          <w:color w:val="auto"/>
          <w:szCs w:val="16"/>
          <w:lang w:val="en-US" w:eastAsia="zh-CN"/>
        </w:rPr>
        <w:t>联系电话：                       </w:t>
      </w:r>
      <w:r>
        <w:rPr>
          <w:rFonts w:hint="eastAsia" w:ascii="Times New Roman" w:hAnsi="Times New Roman" w:cs="Times New Roman"/>
          <w:color w:val="auto"/>
          <w:szCs w:val="16"/>
          <w:lang w:val="en-US" w:eastAsia="zh-CN"/>
        </w:rPr>
        <w:t xml:space="preserve">                     </w:t>
      </w:r>
      <w:r>
        <w:rPr>
          <w:rFonts w:hint="eastAsia" w:ascii="Times New Roman" w:hAnsi="Times New Roman" w:cs="Times New Roman" w:eastAsiaTheme="minorEastAsia"/>
          <w:color w:val="auto"/>
          <w:szCs w:val="16"/>
          <w:lang w:val="en-US" w:eastAsia="zh-CN"/>
        </w:rPr>
        <w:t>联系电话：</w:t>
      </w:r>
    </w:p>
    <w:p w14:paraId="470CCB35">
      <w:pPr>
        <w:adjustRightInd w:val="0"/>
        <w:snapToGrid w:val="0"/>
        <w:spacing w:line="500" w:lineRule="exact"/>
        <w:ind w:firstLine="420" w:firstLineChars="200"/>
        <w:rPr>
          <w:rFonts w:hint="eastAsia" w:asciiTheme="minorEastAsia" w:hAnsiTheme="minorEastAsia" w:eastAsiaTheme="minorEastAsia" w:cstheme="minorEastAsia"/>
          <w:color w:val="000000"/>
          <w:szCs w:val="21"/>
        </w:rPr>
      </w:pPr>
    </w:p>
    <w:p w14:paraId="0CD4D9C5">
      <w:pPr>
        <w:adjustRightInd w:val="0"/>
        <w:snapToGrid w:val="0"/>
        <w:spacing w:line="480" w:lineRule="exact"/>
        <w:rPr>
          <w:rFonts w:hint="eastAsia" w:ascii="宋体" w:hAnsi="宋体" w:cs="宋体"/>
          <w:b/>
          <w:bCs/>
          <w:sz w:val="28"/>
          <w:szCs w:val="28"/>
        </w:rPr>
      </w:pPr>
    </w:p>
    <w:p w14:paraId="28C62809">
      <w:pPr>
        <w:adjustRightInd w:val="0"/>
        <w:snapToGrid w:val="0"/>
        <w:spacing w:line="480" w:lineRule="exact"/>
        <w:ind w:firstLine="420" w:firstLineChars="200"/>
        <w:rPr>
          <w:rFonts w:hint="default" w:ascii="宋体" w:hAnsi="宋体" w:cs="宋体" w:eastAsiaTheme="minorEastAsia"/>
          <w:b/>
          <w:bCs/>
          <w:sz w:val="28"/>
          <w:szCs w:val="28"/>
          <w:lang w:val="en-US" w:eastAsia="zh-CN"/>
        </w:rPr>
      </w:pPr>
      <w:r>
        <w:rPr>
          <w:rFonts w:hint="eastAsia" w:ascii="Times New Roman" w:hAnsi="Times New Roman" w:cs="Times New Roman"/>
          <w:b w:val="0"/>
          <w:bCs w:val="0"/>
          <w:color w:val="auto"/>
          <w:sz w:val="21"/>
          <w:szCs w:val="16"/>
          <w:lang w:val="en-US" w:eastAsia="zh-CN"/>
        </w:rPr>
        <w:t>日期：                                     日期：</w:t>
      </w:r>
    </w:p>
    <w:p w14:paraId="2F59EA0C">
      <w:pPr>
        <w:adjustRightInd w:val="0"/>
        <w:snapToGrid w:val="0"/>
        <w:spacing w:line="500" w:lineRule="exact"/>
        <w:rPr>
          <w:rFonts w:hint="eastAsia" w:asciiTheme="minorEastAsia" w:hAnsiTheme="minorEastAsia" w:eastAsiaTheme="minorEastAsia" w:cstheme="minorEastAsia"/>
          <w:color w:val="000000"/>
          <w:szCs w:val="21"/>
        </w:rPr>
      </w:pPr>
    </w:p>
    <w:p w14:paraId="408E30EC">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jc w:val="left"/>
        <w:textAlignment w:val="auto"/>
        <w:outlineLvl w:val="9"/>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br w:type="page"/>
      </w:r>
    </w:p>
    <w:p w14:paraId="5BB3C193">
      <w:pPr>
        <w:spacing w:line="520" w:lineRule="exact"/>
        <w:jc w:val="center"/>
        <w:outlineLvl w:val="0"/>
        <w:rPr>
          <w:rFonts w:ascii="微软雅黑" w:hAnsi="宋体" w:eastAsia="微软雅黑"/>
          <w:bCs/>
          <w:sz w:val="44"/>
          <w:szCs w:val="44"/>
        </w:rPr>
      </w:pPr>
      <w:bookmarkStart w:id="19" w:name="_Toc22226"/>
      <w:r>
        <w:rPr>
          <w:rFonts w:hint="eastAsia" w:ascii="微软雅黑" w:hAnsi="宋体" w:eastAsia="微软雅黑"/>
          <w:bCs/>
          <w:sz w:val="44"/>
          <w:szCs w:val="44"/>
        </w:rPr>
        <w:t>廉  洁  协  议</w:t>
      </w:r>
    </w:p>
    <w:p w14:paraId="302722C1">
      <w:pPr>
        <w:spacing w:line="420" w:lineRule="exact"/>
        <w:ind w:firstLine="420" w:firstLineChars="200"/>
        <w:rPr>
          <w:rFonts w:hAnsi="宋体"/>
        </w:rPr>
      </w:pPr>
    </w:p>
    <w:p w14:paraId="239D5E55">
      <w:pPr>
        <w:spacing w:line="440" w:lineRule="exact"/>
        <w:ind w:firstLine="420" w:firstLineChars="200"/>
        <w:rPr>
          <w:rFonts w:hAnsi="宋体"/>
          <w:u w:val="single"/>
        </w:rPr>
      </w:pPr>
      <w:r>
        <w:rPr>
          <w:rFonts w:hint="eastAsia" w:hAnsi="宋体"/>
        </w:rPr>
        <w:t>甲方：</w:t>
      </w:r>
      <w:r>
        <w:rPr>
          <w:rFonts w:hint="eastAsia" w:hAnsi="宋体"/>
          <w:u w:val="single"/>
        </w:rPr>
        <w:t>合肥经纬资产经营管理有限公司</w:t>
      </w:r>
    </w:p>
    <w:p w14:paraId="24F3F739">
      <w:pPr>
        <w:spacing w:line="440" w:lineRule="exact"/>
        <w:ind w:firstLine="420" w:firstLineChars="200"/>
        <w:rPr>
          <w:rFonts w:hint="eastAsia" w:hAnsi="宋体"/>
          <w:u w:val="none"/>
        </w:rPr>
      </w:pPr>
      <w:r>
        <w:rPr>
          <w:rFonts w:hint="eastAsia" w:hAnsi="宋体"/>
        </w:rPr>
        <w:t>乙方：</w:t>
      </w:r>
    </w:p>
    <w:p w14:paraId="7CC5B1B5">
      <w:pPr>
        <w:spacing w:line="440" w:lineRule="exact"/>
        <w:ind w:firstLine="420" w:firstLineChars="200"/>
        <w:rPr>
          <w:rFonts w:hint="eastAsia" w:hAnsi="宋体"/>
        </w:rPr>
      </w:pPr>
    </w:p>
    <w:p w14:paraId="3D53B531">
      <w:pPr>
        <w:spacing w:line="440" w:lineRule="exact"/>
        <w:ind w:firstLine="420" w:firstLineChars="200"/>
        <w:rPr>
          <w:rFonts w:hAnsi="宋体"/>
        </w:rPr>
      </w:pPr>
      <w:r>
        <w:rPr>
          <w:rFonts w:hint="eastAsia" w:hAnsi="宋体"/>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14:paraId="32A0B155">
      <w:pPr>
        <w:spacing w:line="440" w:lineRule="exact"/>
        <w:ind w:firstLine="422" w:firstLineChars="200"/>
        <w:rPr>
          <w:rFonts w:hAnsi="宋体"/>
        </w:rPr>
      </w:pPr>
      <w:r>
        <w:rPr>
          <w:rFonts w:hint="eastAsia" w:hAnsi="宋体"/>
          <w:b/>
        </w:rPr>
        <w:t>第一条</w:t>
      </w:r>
      <w:r>
        <w:rPr>
          <w:rFonts w:hint="eastAsia" w:hAnsi="宋体"/>
        </w:rPr>
        <w:t xml:space="preserve">  甲乙双方的权利和义务</w:t>
      </w:r>
    </w:p>
    <w:p w14:paraId="6C56DD17">
      <w:pPr>
        <w:spacing w:line="440" w:lineRule="exact"/>
        <w:ind w:firstLine="420" w:firstLineChars="200"/>
        <w:rPr>
          <w:rFonts w:hAnsi="宋体"/>
        </w:rPr>
      </w:pPr>
      <w:r>
        <w:rPr>
          <w:rFonts w:hint="eastAsia" w:hAnsi="宋体"/>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14:paraId="0E58B5AF">
      <w:pPr>
        <w:spacing w:line="440" w:lineRule="exact"/>
        <w:ind w:firstLine="420" w:firstLineChars="200"/>
        <w:rPr>
          <w:rFonts w:hAnsi="宋体"/>
        </w:rPr>
      </w:pPr>
      <w:r>
        <w:rPr>
          <w:rFonts w:hint="eastAsia" w:hAnsi="宋体"/>
        </w:rPr>
        <w:t>（二）严格执行合同的要求，自觉履行合同约定的相关义务。</w:t>
      </w:r>
    </w:p>
    <w:p w14:paraId="255B72D8">
      <w:pPr>
        <w:spacing w:line="440" w:lineRule="exact"/>
        <w:ind w:firstLine="420" w:firstLineChars="200"/>
        <w:rPr>
          <w:rFonts w:hAnsi="宋体"/>
        </w:rPr>
      </w:pPr>
      <w:r>
        <w:rPr>
          <w:rFonts w:hint="eastAsia" w:hAnsi="宋体"/>
        </w:rPr>
        <w:t>（三）在业务活动中坚持公开、公正、诚信、透明的原则，不得损害国家、集体利益。</w:t>
      </w:r>
    </w:p>
    <w:p w14:paraId="680D3839">
      <w:pPr>
        <w:spacing w:line="440" w:lineRule="exact"/>
        <w:ind w:firstLine="420" w:firstLineChars="200"/>
        <w:rPr>
          <w:rFonts w:hAnsi="宋体"/>
        </w:rPr>
      </w:pPr>
      <w:r>
        <w:rPr>
          <w:rFonts w:hint="eastAsia" w:hAnsi="宋体"/>
        </w:rPr>
        <w:t>（四）建立健全廉洁制度，开展廉洁教育，公布举报电话，监督并认真查处违法违纪行为。</w:t>
      </w:r>
    </w:p>
    <w:p w14:paraId="73DC3520">
      <w:pPr>
        <w:spacing w:line="440" w:lineRule="exact"/>
        <w:ind w:firstLine="420" w:firstLineChars="200"/>
        <w:rPr>
          <w:rFonts w:hAnsi="宋体"/>
        </w:rPr>
      </w:pPr>
      <w:r>
        <w:rPr>
          <w:rFonts w:hint="eastAsia" w:hAnsi="宋体"/>
        </w:rPr>
        <w:t>（五）发现对方在业务活动中有违反廉洁规定的行为，应及时提醒对方纠正。情节严重的，应向其上级有关部门举报、建议给予处理，并有权要求告知处理结果。</w:t>
      </w:r>
    </w:p>
    <w:p w14:paraId="7D97CB00">
      <w:pPr>
        <w:spacing w:line="440" w:lineRule="exact"/>
        <w:ind w:firstLine="422" w:firstLineChars="200"/>
        <w:rPr>
          <w:rFonts w:hAnsi="宋体"/>
        </w:rPr>
      </w:pPr>
      <w:r>
        <w:rPr>
          <w:rFonts w:hint="eastAsia" w:hAnsi="宋体"/>
          <w:b/>
        </w:rPr>
        <w:t>第二条</w:t>
      </w:r>
      <w:r>
        <w:rPr>
          <w:rFonts w:hint="eastAsia" w:hAnsi="宋体"/>
        </w:rPr>
        <w:t xml:space="preserve">  甲方的义务</w:t>
      </w:r>
    </w:p>
    <w:p w14:paraId="6CC91432">
      <w:pPr>
        <w:spacing w:line="440" w:lineRule="exact"/>
        <w:ind w:firstLine="420" w:firstLineChars="200"/>
        <w:rPr>
          <w:rFonts w:hAnsi="宋体"/>
        </w:rPr>
      </w:pPr>
      <w:r>
        <w:rPr>
          <w:rFonts w:hint="eastAsia" w:hAnsi="宋体"/>
        </w:rPr>
        <w:t>（一）甲方及其工作人员不得索要或接受乙方的礼金、有价证券和贵重物品，不得在乙方报销任何应由甲方单位或个人支付的费用等。</w:t>
      </w:r>
    </w:p>
    <w:p w14:paraId="76F02353">
      <w:pPr>
        <w:spacing w:line="440" w:lineRule="exact"/>
        <w:ind w:firstLine="420" w:firstLineChars="200"/>
        <w:rPr>
          <w:rFonts w:hAnsi="宋体"/>
        </w:rPr>
      </w:pPr>
      <w:r>
        <w:rPr>
          <w:rFonts w:hint="eastAsia" w:hAnsi="宋体"/>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39F78EF">
      <w:pPr>
        <w:spacing w:line="440" w:lineRule="exact"/>
        <w:ind w:firstLine="420" w:firstLineChars="200"/>
        <w:rPr>
          <w:rFonts w:hAnsi="宋体"/>
        </w:rPr>
      </w:pPr>
      <w:r>
        <w:rPr>
          <w:rFonts w:hint="eastAsia" w:hAnsi="宋体"/>
        </w:rPr>
        <w:t>（三）甲方及其工作人员不得要求或者接受乙方为其住房装修、婚丧嫁娶活动、配偶子女工作安排以及出国出境、旅游等提供方便等。</w:t>
      </w:r>
    </w:p>
    <w:p w14:paraId="75605646">
      <w:pPr>
        <w:spacing w:line="440" w:lineRule="exact"/>
        <w:ind w:firstLine="420" w:firstLineChars="200"/>
        <w:rPr>
          <w:rFonts w:hAnsi="宋体"/>
        </w:rPr>
      </w:pPr>
      <w:r>
        <w:rPr>
          <w:rFonts w:hint="eastAsia" w:hAnsi="宋体"/>
        </w:rPr>
        <w:t>（四）甲方工作人员不得在乙方有关联的企业兼职，不得向乙方介绍家属或者亲友从事与甲方业务有关的经济活动。</w:t>
      </w:r>
    </w:p>
    <w:p w14:paraId="158D80F7">
      <w:pPr>
        <w:spacing w:line="440" w:lineRule="exact"/>
        <w:ind w:firstLine="420" w:firstLineChars="200"/>
        <w:rPr>
          <w:rFonts w:hAnsi="宋体"/>
        </w:rPr>
      </w:pPr>
      <w:r>
        <w:rPr>
          <w:rFonts w:hint="eastAsia" w:hAnsi="宋体"/>
        </w:rPr>
        <w:t>（五）甲方工作人员不得以明显低于市场的价格向乙方购买房屋、汽车等物品；不得以明显高于市场的价格向乙方出售房屋、汽车等物品；不得以其他交易形式非法收受请托人财物。</w:t>
      </w:r>
    </w:p>
    <w:p w14:paraId="2B1C95B8">
      <w:pPr>
        <w:spacing w:line="440" w:lineRule="exact"/>
        <w:ind w:firstLine="420" w:firstLineChars="200"/>
        <w:rPr>
          <w:rFonts w:hAnsi="宋体"/>
        </w:rPr>
      </w:pPr>
      <w:r>
        <w:rPr>
          <w:rFonts w:hint="eastAsia" w:hAnsi="宋体"/>
        </w:rPr>
        <w:t>（六）甲方工作人员不得利用职务之便收受乙方以回扣、手续费、加班费、咨询费、劳务费、协调费等各种名义给予或赠送的钱物。</w:t>
      </w:r>
    </w:p>
    <w:p w14:paraId="3FFDB722">
      <w:pPr>
        <w:spacing w:line="440" w:lineRule="exact"/>
        <w:ind w:firstLine="420" w:firstLineChars="200"/>
        <w:rPr>
          <w:rFonts w:hAnsi="宋体"/>
        </w:rPr>
      </w:pPr>
      <w:r>
        <w:rPr>
          <w:rFonts w:hint="eastAsia" w:hAnsi="宋体"/>
        </w:rPr>
        <w:t>（七）甲方工作人员不得接受乙方给予或赠送的干股或红利。</w:t>
      </w:r>
    </w:p>
    <w:p w14:paraId="0D521D46">
      <w:pPr>
        <w:spacing w:line="440" w:lineRule="exact"/>
        <w:ind w:firstLine="420" w:firstLineChars="200"/>
        <w:rPr>
          <w:rFonts w:hAnsi="宋体"/>
        </w:rPr>
      </w:pPr>
      <w:r>
        <w:rPr>
          <w:rFonts w:hint="eastAsia" w:hAnsi="宋体"/>
        </w:rPr>
        <w:t>（八）甲方任何人不得以个人的名义向乙方推荐设备、部件等供货商以及其他合作单位。</w:t>
      </w:r>
    </w:p>
    <w:p w14:paraId="0A84F81F">
      <w:pPr>
        <w:spacing w:line="440" w:lineRule="exact"/>
        <w:ind w:firstLine="422" w:firstLineChars="200"/>
        <w:rPr>
          <w:rFonts w:hAnsi="宋体"/>
        </w:rPr>
      </w:pPr>
      <w:r>
        <w:rPr>
          <w:rFonts w:hint="eastAsia" w:hAnsi="宋体"/>
          <w:b/>
        </w:rPr>
        <w:t xml:space="preserve">第三条  </w:t>
      </w:r>
      <w:r>
        <w:rPr>
          <w:rFonts w:hint="eastAsia" w:hAnsi="宋体"/>
        </w:rPr>
        <w:t>乙方的义务</w:t>
      </w:r>
    </w:p>
    <w:p w14:paraId="10B00B0F">
      <w:pPr>
        <w:spacing w:line="440" w:lineRule="exact"/>
        <w:ind w:firstLine="420" w:firstLineChars="200"/>
        <w:rPr>
          <w:rFonts w:hAnsi="宋体"/>
        </w:rPr>
      </w:pPr>
      <w:r>
        <w:rPr>
          <w:rFonts w:hint="eastAsia" w:hAnsi="宋体"/>
        </w:rPr>
        <w:t>（一）乙方不得以任何理由向甲方及其工作人员行贿或馈赠礼金、有价证券、贵重礼品。</w:t>
      </w:r>
    </w:p>
    <w:p w14:paraId="35553754">
      <w:pPr>
        <w:spacing w:line="440" w:lineRule="exact"/>
        <w:ind w:firstLine="420" w:firstLineChars="200"/>
        <w:rPr>
          <w:rFonts w:hAnsi="宋体"/>
        </w:rPr>
      </w:pPr>
      <w:r>
        <w:rPr>
          <w:rFonts w:hint="eastAsia" w:hAnsi="宋体"/>
        </w:rPr>
        <w:t>（二)乙方不得以任何名义为甲方及其工作人员报销应由甲方单位或个人支付的任何费用。</w:t>
      </w:r>
    </w:p>
    <w:p w14:paraId="4A7DE2C6">
      <w:pPr>
        <w:spacing w:line="440" w:lineRule="exact"/>
        <w:ind w:firstLine="420" w:firstLineChars="200"/>
        <w:rPr>
          <w:rFonts w:hAnsi="宋体"/>
        </w:rPr>
      </w:pPr>
      <w:r>
        <w:rPr>
          <w:rFonts w:hint="eastAsia" w:hAnsi="宋体"/>
        </w:rPr>
        <w:t>（三）乙方不得以任何理由安排甲方工作人员参加可能影响相关业务公开、公正、公平性的宴请及娱乐活动。</w:t>
      </w:r>
    </w:p>
    <w:p w14:paraId="3BC7D71A">
      <w:pPr>
        <w:spacing w:line="440" w:lineRule="exact"/>
        <w:ind w:firstLine="420" w:firstLineChars="200"/>
        <w:rPr>
          <w:rFonts w:hAnsi="宋体"/>
        </w:rPr>
      </w:pPr>
      <w:r>
        <w:rPr>
          <w:rFonts w:hint="eastAsia" w:hAnsi="宋体"/>
        </w:rPr>
        <w:t>（四）乙方不得为甲方单位和个人购置或提供通讯工具和高档办公用品等物品，也不得为甲方提供与工作无关的房屋、汽车等。</w:t>
      </w:r>
    </w:p>
    <w:p w14:paraId="1830554B">
      <w:pPr>
        <w:spacing w:line="440" w:lineRule="exact"/>
        <w:ind w:firstLine="420" w:firstLineChars="200"/>
        <w:rPr>
          <w:rFonts w:hAnsi="宋体"/>
        </w:rPr>
      </w:pPr>
      <w:r>
        <w:rPr>
          <w:rFonts w:hint="eastAsia" w:hAnsi="宋体"/>
        </w:rPr>
        <w:t>（五）乙方不得与甲方工作人员就合同中的质量、数量、价格、工程量、验收等条款进行私下商谈或者达成默契。</w:t>
      </w:r>
    </w:p>
    <w:p w14:paraId="010DA078">
      <w:pPr>
        <w:spacing w:line="440" w:lineRule="exact"/>
        <w:ind w:firstLine="420" w:firstLineChars="200"/>
        <w:rPr>
          <w:rFonts w:hAnsi="宋体"/>
        </w:rPr>
      </w:pPr>
      <w:r>
        <w:rPr>
          <w:rFonts w:hint="eastAsia" w:hAnsi="宋体"/>
        </w:rPr>
        <w:t>（六）乙方不得以回扣、手续费、加班费、咨询费、劳务费等各种名义向甲方工作人员给予或赠送钱物。</w:t>
      </w:r>
    </w:p>
    <w:p w14:paraId="0B3DF59A">
      <w:pPr>
        <w:spacing w:line="440" w:lineRule="exact"/>
        <w:ind w:firstLine="420" w:firstLineChars="200"/>
        <w:rPr>
          <w:rFonts w:hAnsi="宋体"/>
        </w:rPr>
      </w:pPr>
      <w:r>
        <w:rPr>
          <w:rFonts w:hint="eastAsia" w:hAnsi="宋体"/>
        </w:rPr>
        <w:t>（七）乙方不得向甲方工作人员提供干股或红利。</w:t>
      </w:r>
    </w:p>
    <w:p w14:paraId="00559D0E">
      <w:pPr>
        <w:spacing w:line="440" w:lineRule="exact"/>
        <w:ind w:firstLine="420" w:firstLineChars="200"/>
        <w:rPr>
          <w:rFonts w:hAnsi="宋体"/>
        </w:rPr>
      </w:pPr>
      <w:r>
        <w:rPr>
          <w:rFonts w:hint="eastAsia" w:hAnsi="宋体"/>
        </w:rPr>
        <w:t>（八）乙方须按合肥文旅博览集团有限公司纪委要求开展相关工作。</w:t>
      </w:r>
    </w:p>
    <w:p w14:paraId="711A5D8D">
      <w:pPr>
        <w:spacing w:line="440" w:lineRule="exact"/>
        <w:ind w:firstLine="422" w:firstLineChars="200"/>
        <w:rPr>
          <w:rFonts w:hAnsi="宋体"/>
        </w:rPr>
      </w:pPr>
      <w:r>
        <w:rPr>
          <w:rFonts w:hint="eastAsia" w:hAnsi="宋体"/>
          <w:b/>
        </w:rPr>
        <w:t>第四条</w:t>
      </w:r>
      <w:r>
        <w:rPr>
          <w:rFonts w:hint="eastAsia" w:hAnsi="宋体"/>
        </w:rPr>
        <w:t xml:space="preserve">  违约责任</w:t>
      </w:r>
    </w:p>
    <w:p w14:paraId="55D69998">
      <w:pPr>
        <w:spacing w:line="440" w:lineRule="exact"/>
        <w:ind w:firstLine="420" w:firstLineChars="200"/>
        <w:rPr>
          <w:rFonts w:hAnsi="宋体"/>
        </w:rPr>
      </w:pPr>
      <w:r>
        <w:rPr>
          <w:rFonts w:hint="eastAsia" w:hAnsi="宋体"/>
        </w:rPr>
        <w:t>（一）甲方及其工作人员违反本协议第一、二条规定。甲方按管理权限，对相关责任人依据有关规定给予党纪、政纪处分或组织处理；涉嫌犯罪的，移交司法机关追究刑事责任。</w:t>
      </w:r>
    </w:p>
    <w:p w14:paraId="236F1291">
      <w:pPr>
        <w:spacing w:line="440" w:lineRule="exact"/>
        <w:ind w:firstLine="420" w:firstLineChars="200"/>
        <w:jc w:val="left"/>
        <w:rPr>
          <w:rFonts w:hAnsi="宋体" w:eastAsia="宋体"/>
        </w:rPr>
      </w:pPr>
      <w:r>
        <w:rPr>
          <w:rFonts w:hint="eastAsia" w:hAnsi="宋体"/>
        </w:rPr>
        <w:t>投诉联系部门：合肥经纬资产经营管理有限公司综合管理部，联系电话:</w:t>
      </w:r>
      <w:r>
        <w:rPr>
          <w:rFonts w:hAnsi="宋体"/>
        </w:rPr>
        <w:t>0551</w:t>
      </w:r>
      <w:r>
        <w:rPr>
          <w:rFonts w:hint="eastAsia" w:hAnsi="宋体"/>
        </w:rPr>
        <w:t>-</w:t>
      </w:r>
      <w:r>
        <w:rPr>
          <w:rFonts w:hAnsi="宋体"/>
        </w:rPr>
        <w:t>63530731</w:t>
      </w:r>
      <w:r>
        <w:rPr>
          <w:rFonts w:hint="eastAsia" w:hAnsi="宋体"/>
        </w:rPr>
        <w:t>，举报邮箱：hfjwjw</w:t>
      </w:r>
      <w:r>
        <w:rPr>
          <w:rFonts w:hAnsi="宋体"/>
        </w:rPr>
        <w:t>@126.COM</w:t>
      </w:r>
    </w:p>
    <w:p w14:paraId="2A406E52">
      <w:pPr>
        <w:spacing w:line="440" w:lineRule="exact"/>
        <w:ind w:firstLine="420" w:firstLineChars="200"/>
        <w:rPr>
          <w:rFonts w:hAnsi="宋体"/>
        </w:rPr>
      </w:pPr>
      <w:r>
        <w:rPr>
          <w:rFonts w:hint="eastAsia" w:hAnsi="宋体"/>
        </w:rPr>
        <w:t>（二）乙方及其工作人员违反本协议第一、三条规定。根据具体情节和造成的后果，甲方有权依据法律法规及合同约定对乙方采取以下一种或多种处理办法：</w:t>
      </w:r>
    </w:p>
    <w:p w14:paraId="57AF2489">
      <w:pPr>
        <w:spacing w:line="440" w:lineRule="exact"/>
        <w:ind w:firstLine="420" w:firstLineChars="200"/>
        <w:rPr>
          <w:rFonts w:hAnsi="宋体"/>
        </w:rPr>
      </w:pPr>
      <w:r>
        <w:rPr>
          <w:rFonts w:hint="eastAsia" w:hAnsi="宋体"/>
        </w:rPr>
        <w:t xml:space="preserve">1．向建设行政部门、招投标管理部门及乙方上级主管部门通报，建议作出相应处理； </w:t>
      </w:r>
    </w:p>
    <w:p w14:paraId="53D9FE8A">
      <w:pPr>
        <w:spacing w:line="440" w:lineRule="exact"/>
        <w:ind w:firstLine="420" w:firstLineChars="200"/>
        <w:rPr>
          <w:rFonts w:hAnsi="宋体"/>
        </w:rPr>
      </w:pPr>
      <w:r>
        <w:rPr>
          <w:rFonts w:hint="eastAsia" w:hAnsi="宋体"/>
        </w:rPr>
        <w:t>2．甲方有权扣除乙方履约保证金全部或部分（视情节严重性而定）；</w:t>
      </w:r>
    </w:p>
    <w:p w14:paraId="5BBDD778">
      <w:pPr>
        <w:spacing w:line="440" w:lineRule="exact"/>
        <w:ind w:firstLine="420" w:firstLineChars="200"/>
        <w:rPr>
          <w:rFonts w:hAnsi="宋体"/>
        </w:rPr>
      </w:pPr>
      <w:r>
        <w:rPr>
          <w:rFonts w:hint="eastAsia" w:hAnsi="宋体"/>
        </w:rPr>
        <w:t>3．终止或解除双方已签订的包括（不限于）本合同在内的所有合同。</w:t>
      </w:r>
    </w:p>
    <w:p w14:paraId="3F111011">
      <w:pPr>
        <w:spacing w:line="440" w:lineRule="exact"/>
        <w:ind w:firstLine="420" w:firstLineChars="200"/>
        <w:rPr>
          <w:rFonts w:hAnsi="宋体"/>
        </w:rPr>
      </w:pPr>
      <w:r>
        <w:rPr>
          <w:rFonts w:hint="eastAsia" w:hAnsi="宋体"/>
        </w:rPr>
        <w:t>甲方作出的处理意见，乙方应无条件接受并承担给甲方造成的损失，全额返还通过不正当手段从甲方获取的非法所得，并承担相应的法律责任。</w:t>
      </w:r>
    </w:p>
    <w:p w14:paraId="4B825F24">
      <w:pPr>
        <w:spacing w:line="440" w:lineRule="exact"/>
        <w:ind w:firstLine="422" w:firstLineChars="200"/>
        <w:rPr>
          <w:rFonts w:hAnsi="宋体"/>
        </w:rPr>
      </w:pPr>
      <w:r>
        <w:rPr>
          <w:rFonts w:hint="eastAsia" w:hAnsi="宋体"/>
          <w:b/>
        </w:rPr>
        <w:t>第五条</w:t>
      </w:r>
      <w:r>
        <w:rPr>
          <w:rFonts w:hint="eastAsia" w:hAnsi="宋体"/>
        </w:rPr>
        <w:t xml:space="preserve">  双方约定</w:t>
      </w:r>
    </w:p>
    <w:p w14:paraId="21B80B71">
      <w:pPr>
        <w:spacing w:line="440" w:lineRule="exact"/>
        <w:ind w:firstLine="420" w:firstLineChars="200"/>
        <w:rPr>
          <w:rFonts w:hAnsi="宋体"/>
        </w:rPr>
      </w:pPr>
      <w:r>
        <w:rPr>
          <w:rFonts w:hint="eastAsia" w:hAnsi="宋体"/>
        </w:rPr>
        <w:t>本协议由双方或双方上级单位负责监督。可由甲方或甲方上级单位的纪检监察部门约请乙方或乙方上级单位的纪检监察部门对本协议履行情况进行检查，提出在本协议规定范围内的裁定意见。</w:t>
      </w:r>
    </w:p>
    <w:p w14:paraId="1B33041B">
      <w:pPr>
        <w:spacing w:line="440" w:lineRule="exact"/>
        <w:ind w:firstLine="422" w:firstLineChars="200"/>
        <w:rPr>
          <w:rFonts w:hAnsi="宋体"/>
        </w:rPr>
      </w:pPr>
      <w:r>
        <w:rPr>
          <w:rFonts w:hint="eastAsia" w:hAnsi="宋体"/>
          <w:b/>
        </w:rPr>
        <w:t xml:space="preserve">第六条  </w:t>
      </w:r>
      <w:r>
        <w:rPr>
          <w:rFonts w:hint="eastAsia" w:hAnsi="宋体"/>
        </w:rPr>
        <w:t xml:space="preserve">本协议有效期为甲乙双方签署之日起至合同终止。  </w:t>
      </w:r>
    </w:p>
    <w:p w14:paraId="4898E3B6">
      <w:pPr>
        <w:spacing w:line="440" w:lineRule="exact"/>
        <w:ind w:firstLine="422" w:firstLineChars="200"/>
        <w:rPr>
          <w:rFonts w:hAnsi="宋体"/>
        </w:rPr>
      </w:pPr>
      <w:r>
        <w:rPr>
          <w:rFonts w:hint="eastAsia" w:hAnsi="宋体"/>
          <w:b/>
        </w:rPr>
        <w:t xml:space="preserve">第七条 </w:t>
      </w:r>
      <w:r>
        <w:rPr>
          <w:rFonts w:hint="eastAsia" w:hAnsi="宋体"/>
        </w:rPr>
        <w:t xml:space="preserve"> 本协议作为合同的附件，与合同具有同等法律效力。</w:t>
      </w:r>
    </w:p>
    <w:p w14:paraId="69AED45B">
      <w:pPr>
        <w:spacing w:line="440" w:lineRule="exact"/>
        <w:rPr>
          <w:rFonts w:hAnsi="宋体"/>
        </w:rPr>
      </w:pPr>
    </w:p>
    <w:p w14:paraId="651F3807">
      <w:pPr>
        <w:spacing w:line="440" w:lineRule="exact"/>
        <w:ind w:firstLine="420" w:firstLineChars="200"/>
        <w:rPr>
          <w:rFonts w:hAnsi="宋体"/>
        </w:rPr>
      </w:pPr>
      <w:r>
        <w:rPr>
          <w:rFonts w:hint="eastAsia" w:hAnsi="宋体"/>
        </w:rPr>
        <w:t>甲方（盖章）：                   乙方（盖章）：</w:t>
      </w:r>
    </w:p>
    <w:p w14:paraId="1AABC1ED">
      <w:pPr>
        <w:spacing w:line="440" w:lineRule="exact"/>
        <w:ind w:firstLine="420" w:firstLineChars="200"/>
        <w:rPr>
          <w:rFonts w:hAnsi="宋体"/>
        </w:rPr>
      </w:pPr>
      <w:r>
        <w:rPr>
          <w:rFonts w:hint="eastAsia" w:hAnsi="宋体"/>
        </w:rPr>
        <w:t>法定代表人或</w:t>
      </w:r>
      <w:r>
        <w:rPr>
          <w:rFonts w:hint="eastAsia" w:hAnsi="宋体"/>
        </w:rPr>
        <w:tab/>
      </w:r>
      <w:r>
        <w:rPr>
          <w:rFonts w:hint="eastAsia" w:hAnsi="宋体"/>
        </w:rPr>
        <w:t xml:space="preserve">                    法定代表人或</w:t>
      </w:r>
    </w:p>
    <w:p w14:paraId="53F971E5">
      <w:pPr>
        <w:spacing w:line="440" w:lineRule="exact"/>
        <w:ind w:firstLine="420" w:firstLineChars="200"/>
        <w:rPr>
          <w:rFonts w:hAnsi="宋体"/>
        </w:rPr>
      </w:pPr>
      <w:r>
        <w:rPr>
          <w:rFonts w:hint="eastAsia" w:hAnsi="宋体"/>
        </w:rPr>
        <w:t>授权代表：   (职务)               授权代表：  （职务）</w:t>
      </w:r>
    </w:p>
    <w:p w14:paraId="12EF24AB">
      <w:pPr>
        <w:spacing w:line="440" w:lineRule="exact"/>
        <w:ind w:firstLine="420" w:firstLineChars="200"/>
        <w:rPr>
          <w:rFonts w:hAnsi="宋体"/>
        </w:rPr>
      </w:pPr>
      <w:r>
        <w:rPr>
          <w:rFonts w:hint="eastAsia" w:hAnsi="宋体"/>
        </w:rPr>
        <w:t>签字：                            签字：</w:t>
      </w:r>
    </w:p>
    <w:p w14:paraId="4013A157">
      <w:pPr>
        <w:spacing w:line="440" w:lineRule="exact"/>
        <w:ind w:firstLine="420" w:firstLineChars="200"/>
        <w:rPr>
          <w:rFonts w:hAnsi="宋体"/>
        </w:rPr>
      </w:pPr>
    </w:p>
    <w:p w14:paraId="1E2E9E04">
      <w:pPr>
        <w:spacing w:line="440" w:lineRule="exact"/>
        <w:ind w:firstLine="420" w:firstLineChars="200"/>
        <w:rPr>
          <w:rFonts w:hAnsi="宋体"/>
        </w:rPr>
      </w:pPr>
    </w:p>
    <w:p w14:paraId="2E0B3E11">
      <w:pPr>
        <w:spacing w:line="440" w:lineRule="exact"/>
        <w:ind w:firstLine="420" w:firstLineChars="200"/>
        <w:rPr>
          <w:rFonts w:hAnsi="宋体"/>
        </w:rPr>
      </w:pPr>
      <w:r>
        <w:rPr>
          <w:rFonts w:hint="eastAsia" w:hAnsi="宋体"/>
        </w:rPr>
        <w:t>廉洁监督联系人                    廉洁监督联系人</w:t>
      </w:r>
    </w:p>
    <w:p w14:paraId="047F7789">
      <w:pPr>
        <w:spacing w:line="440" w:lineRule="exact"/>
        <w:ind w:firstLine="420" w:firstLineChars="200"/>
        <w:rPr>
          <w:rFonts w:hAnsi="宋体"/>
        </w:rPr>
      </w:pPr>
      <w:r>
        <w:rPr>
          <w:rFonts w:hint="eastAsia" w:hAnsi="宋体"/>
        </w:rPr>
        <w:t>签字：                            签字：</w:t>
      </w:r>
    </w:p>
    <w:p w14:paraId="36650CA3">
      <w:pPr>
        <w:spacing w:line="440" w:lineRule="exact"/>
        <w:ind w:firstLine="420" w:firstLineChars="200"/>
        <w:rPr>
          <w:rFonts w:hAnsi="宋体"/>
        </w:rPr>
      </w:pPr>
      <w:r>
        <w:rPr>
          <w:rFonts w:hint="eastAsia" w:hAnsi="宋体"/>
        </w:rPr>
        <w:t>电话：0551-                       电话：</w:t>
      </w:r>
    </w:p>
    <w:p w14:paraId="7903CAF2">
      <w:pPr>
        <w:widowControl/>
        <w:spacing w:line="560" w:lineRule="exact"/>
        <w:ind w:firstLine="420" w:firstLineChars="200"/>
        <w:jc w:val="left"/>
        <w:rPr>
          <w:rFonts w:hAnsi="宋体" w:cs="@仿宋_GB2312"/>
          <w:bCs/>
          <w:szCs w:val="20"/>
        </w:rPr>
      </w:pPr>
      <w:bookmarkStart w:id="20" w:name="_Toc331685783"/>
      <w:r>
        <w:rPr>
          <w:rFonts w:hint="eastAsia" w:hAnsi="宋体" w:cs="@仿宋_GB2312"/>
          <w:bCs/>
          <w:szCs w:val="20"/>
        </w:rPr>
        <w:t>时间：</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lang w:val="en-US" w:eastAsia="zh-CN"/>
        </w:rPr>
        <w:t xml:space="preserve">   </w:t>
      </w:r>
      <w:r>
        <w:rPr>
          <w:rFonts w:hint="eastAsia" w:hAnsi="宋体" w:cs="@仿宋_GB2312"/>
          <w:bCs/>
          <w:szCs w:val="20"/>
        </w:rPr>
        <w:t>月</w:t>
      </w:r>
      <w:r>
        <w:rPr>
          <w:rFonts w:hint="eastAsia" w:hAnsi="宋体" w:cs="@仿宋_GB2312"/>
          <w:bCs/>
          <w:szCs w:val="20"/>
          <w:u w:val="single"/>
          <w:lang w:val="en-US" w:eastAsia="zh-CN"/>
        </w:rPr>
        <w:t xml:space="preserve">   </w:t>
      </w:r>
      <w:r>
        <w:rPr>
          <w:rFonts w:hint="eastAsia" w:hAnsi="宋体" w:cs="@仿宋_GB2312"/>
          <w:bCs/>
          <w:szCs w:val="20"/>
        </w:rPr>
        <w:t xml:space="preserve">日      </w:t>
      </w:r>
      <w:r>
        <w:rPr>
          <w:rFonts w:hint="eastAsia" w:hAnsi="宋体" w:cs="@仿宋_GB2312"/>
          <w:bCs/>
          <w:szCs w:val="20"/>
          <w:lang w:val="en-US" w:eastAsia="zh-CN"/>
        </w:rPr>
        <w:t xml:space="preserve">     </w:t>
      </w:r>
      <w:r>
        <w:rPr>
          <w:rFonts w:hint="eastAsia" w:hAnsi="宋体" w:cs="@仿宋_GB2312"/>
          <w:bCs/>
          <w:szCs w:val="20"/>
        </w:rPr>
        <w:t>时间：</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lang w:val="en-US" w:eastAsia="zh-CN"/>
        </w:rPr>
        <w:t xml:space="preserve">   </w:t>
      </w:r>
      <w:r>
        <w:rPr>
          <w:rFonts w:hint="eastAsia" w:hAnsi="宋体" w:cs="@仿宋_GB2312"/>
          <w:bCs/>
          <w:szCs w:val="20"/>
        </w:rPr>
        <w:t>月</w:t>
      </w:r>
      <w:r>
        <w:rPr>
          <w:rFonts w:hint="eastAsia" w:hAnsi="宋体" w:cs="@仿宋_GB2312"/>
          <w:bCs/>
          <w:szCs w:val="20"/>
          <w:u w:val="single"/>
          <w:lang w:val="en-US" w:eastAsia="zh-CN"/>
        </w:rPr>
        <w:t xml:space="preserve">   </w:t>
      </w:r>
      <w:r>
        <w:rPr>
          <w:rFonts w:hint="eastAsia" w:hAnsi="宋体" w:cs="@仿宋_GB2312"/>
          <w:bCs/>
          <w:szCs w:val="20"/>
        </w:rPr>
        <w:t>日</w:t>
      </w:r>
      <w:bookmarkEnd w:id="20"/>
    </w:p>
    <w:p w14:paraId="7D1F29B6">
      <w:pPr>
        <w:spacing w:line="240" w:lineRule="auto"/>
        <w:jc w:val="left"/>
        <w:outlineLvl w:val="9"/>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1D7E2328">
      <w:pPr>
        <w:spacing w:line="360" w:lineRule="auto"/>
        <w:jc w:val="center"/>
        <w:outlineLvl w:val="1"/>
        <w:rPr>
          <w:rFonts w:ascii="Times New Roman" w:hAnsi="Times New Roman" w:cs="Times New Roman" w:eastAsiaTheme="minorEastAsia"/>
          <w:b/>
          <w:sz w:val="28"/>
        </w:rPr>
      </w:pPr>
      <w:r>
        <w:rPr>
          <w:rFonts w:ascii="Times New Roman" w:hAnsi="Times New Roman" w:cs="Times New Roman" w:eastAsiaTheme="minorEastAsia"/>
          <w:b/>
          <w:sz w:val="28"/>
        </w:rPr>
        <w:t>第六章  投标文件格式</w:t>
      </w:r>
      <w:bookmarkEnd w:id="19"/>
    </w:p>
    <w:p w14:paraId="5B44CCA6">
      <w:pPr>
        <w:spacing w:line="500" w:lineRule="exact"/>
        <w:jc w:val="center"/>
        <w:rPr>
          <w:rFonts w:hint="eastAsia" w:ascii="Times New Roman" w:hAnsi="Times New Roman" w:cs="Times New Roman" w:eastAsiaTheme="minorEastAsia"/>
          <w:b/>
          <w:sz w:val="32"/>
        </w:rPr>
      </w:pPr>
      <w:r>
        <w:rPr>
          <w:rFonts w:hint="eastAsia" w:ascii="Times New Roman" w:hAnsi="Times New Roman" w:cs="Times New Roman" w:eastAsiaTheme="minorEastAsia"/>
          <w:b/>
          <w:sz w:val="32"/>
        </w:rPr>
        <w:t>合肥经纬资产经营管理有限公司处置FS420蜘蛛式</w:t>
      </w:r>
    </w:p>
    <w:p w14:paraId="1AB0DC16">
      <w:pPr>
        <w:spacing w:line="500" w:lineRule="exact"/>
        <w:jc w:val="center"/>
        <w:rPr>
          <w:rFonts w:ascii="Times New Roman" w:hAnsi="Times New Roman" w:cs="Times New Roman" w:eastAsiaTheme="minorEastAsia"/>
          <w:b/>
          <w:sz w:val="32"/>
        </w:rPr>
      </w:pPr>
      <w:r>
        <w:rPr>
          <w:rFonts w:hint="eastAsia" w:ascii="Times New Roman" w:hAnsi="Times New Roman" w:cs="Times New Roman" w:eastAsiaTheme="minorEastAsia"/>
          <w:b/>
          <w:sz w:val="32"/>
        </w:rPr>
        <w:t>高空平台等一批报废资产项目</w:t>
      </w:r>
    </w:p>
    <w:p w14:paraId="026AE513">
      <w:pPr>
        <w:spacing w:line="900" w:lineRule="exact"/>
        <w:jc w:val="center"/>
        <w:rPr>
          <w:rFonts w:ascii="Times New Roman" w:hAnsi="Times New Roman" w:cs="Times New Roman" w:eastAsiaTheme="minorEastAsia"/>
          <w:b/>
          <w:sz w:val="72"/>
        </w:rPr>
      </w:pPr>
    </w:p>
    <w:p w14:paraId="535382CB">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460D79EB">
      <w:pPr>
        <w:spacing w:line="900" w:lineRule="exact"/>
        <w:jc w:val="center"/>
        <w:rPr>
          <w:rFonts w:ascii="Times New Roman" w:hAnsi="Times New Roman" w:cs="Times New Roman" w:eastAsiaTheme="minorEastAsia"/>
          <w:b/>
          <w:sz w:val="72"/>
        </w:rPr>
      </w:pPr>
    </w:p>
    <w:p w14:paraId="11D98865">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648B5A0B">
      <w:pPr>
        <w:spacing w:line="900" w:lineRule="exact"/>
        <w:jc w:val="center"/>
        <w:rPr>
          <w:rFonts w:ascii="Times New Roman" w:hAnsi="Times New Roman" w:cs="Times New Roman" w:eastAsiaTheme="minorEastAsia"/>
          <w:b/>
          <w:sz w:val="72"/>
        </w:rPr>
      </w:pPr>
    </w:p>
    <w:p w14:paraId="15EB37D4">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0D2B91B2">
      <w:pPr>
        <w:spacing w:line="900" w:lineRule="exact"/>
        <w:jc w:val="center"/>
        <w:rPr>
          <w:rFonts w:ascii="Times New Roman" w:hAnsi="Times New Roman" w:cs="Times New Roman" w:eastAsiaTheme="minorEastAsia"/>
          <w:b/>
          <w:sz w:val="72"/>
        </w:rPr>
      </w:pPr>
    </w:p>
    <w:p w14:paraId="3820B421">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54B37C74">
      <w:pPr>
        <w:spacing w:after="156" w:afterLines="50"/>
        <w:jc w:val="center"/>
        <w:rPr>
          <w:rFonts w:ascii="Times New Roman" w:hAnsi="Times New Roman" w:cs="Times New Roman" w:eastAsiaTheme="minorEastAsia"/>
          <w:b/>
          <w:sz w:val="72"/>
        </w:rPr>
      </w:pPr>
    </w:p>
    <w:p w14:paraId="0D76B9FE">
      <w:pPr>
        <w:spacing w:before="156" w:beforeLines="50" w:after="156" w:afterLines="50"/>
        <w:jc w:val="center"/>
        <w:rPr>
          <w:rFonts w:ascii="Times New Roman" w:hAnsi="Times New Roman" w:cs="Times New Roman" w:eastAsiaTheme="minorEastAsia"/>
          <w:b/>
          <w:sz w:val="32"/>
          <w:szCs w:val="32"/>
        </w:rPr>
      </w:pPr>
    </w:p>
    <w:p w14:paraId="2C4B767F">
      <w:pPr>
        <w:spacing w:after="156" w:afterLines="50" w:line="500" w:lineRule="exact"/>
        <w:jc w:val="center"/>
        <w:rPr>
          <w:rFonts w:ascii="Times New Roman" w:hAnsi="Times New Roman" w:cs="Times New Roman" w:eastAsiaTheme="minorEastAsia"/>
          <w:b/>
          <w:sz w:val="28"/>
          <w:szCs w:val="28"/>
        </w:rPr>
      </w:pPr>
    </w:p>
    <w:p w14:paraId="016AB5A4">
      <w:pPr>
        <w:spacing w:after="156" w:afterLines="50" w:line="500" w:lineRule="exact"/>
        <w:jc w:val="center"/>
        <w:rPr>
          <w:rFonts w:ascii="Times New Roman" w:hAnsi="Times New Roman" w:cs="Times New Roman" w:eastAsiaTheme="minorEastAsia"/>
          <w:b/>
          <w:sz w:val="72"/>
        </w:rPr>
      </w:pPr>
    </w:p>
    <w:p w14:paraId="53F56EF5">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4C949F49">
      <w:pPr>
        <w:spacing w:after="156" w:afterLines="50" w:line="500" w:lineRule="exact"/>
        <w:jc w:val="center"/>
        <w:rPr>
          <w:rFonts w:ascii="Times New Roman" w:hAnsi="Times New Roman" w:cs="Times New Roman" w:eastAsiaTheme="minorEastAsia"/>
          <w:b/>
          <w:sz w:val="32"/>
        </w:rPr>
      </w:pPr>
      <w:r>
        <w:rPr>
          <w:rFonts w:hint="eastAsia" w:ascii="Times New Roman" w:hAnsi="Times New Roman" w:cs="Times New Roman"/>
          <w:b/>
          <w:sz w:val="32"/>
          <w:u w:val="single"/>
          <w:lang w:val="en-US" w:eastAsia="zh-CN"/>
        </w:rPr>
        <w:t xml:space="preserve"> </w:t>
      </w:r>
      <w:r>
        <w:rPr>
          <w:rFonts w:ascii="Times New Roman" w:hAnsi="Times New Roman" w:cs="Times New Roman" w:eastAsiaTheme="minorEastAsia"/>
          <w:b/>
          <w:sz w:val="32"/>
          <w:u w:val="single"/>
        </w:rPr>
        <w:t xml:space="preserve"> </w:t>
      </w:r>
      <w:r>
        <w:rPr>
          <w:rFonts w:hint="eastAsia" w:ascii="Times New Roman" w:hAnsi="Times New Roman" w:cs="Times New Roman"/>
          <w:b/>
          <w:sz w:val="32"/>
          <w:u w:val="single"/>
          <w:lang w:val="en-US" w:eastAsia="zh-CN"/>
        </w:rPr>
        <w:t>2026</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14:paraId="73C1FA21">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250B1BBF">
      <w:pPr>
        <w:numPr>
          <w:ilvl w:val="0"/>
          <w:numId w:val="4"/>
        </w:numPr>
        <w:spacing w:line="360" w:lineRule="auto"/>
        <w:jc w:val="center"/>
        <w:outlineLvl w:val="2"/>
        <w:rPr>
          <w:rFonts w:ascii="Times New Roman" w:hAnsi="Times New Roman" w:cs="Times New Roman" w:eastAsiaTheme="minorEastAsia"/>
          <w:b/>
          <w:sz w:val="24"/>
        </w:rPr>
      </w:pPr>
      <w:bookmarkStart w:id="21" w:name="_Hlk23205287"/>
      <w:r>
        <w:rPr>
          <w:rFonts w:ascii="Times New Roman" w:hAnsi="Times New Roman" w:cs="Times New Roman" w:eastAsiaTheme="minorEastAsia"/>
          <w:b/>
          <w:sz w:val="24"/>
        </w:rPr>
        <w:t>报价表</w:t>
      </w:r>
    </w:p>
    <w:p w14:paraId="5DD6617D">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b/>
          <w:sz w:val="24"/>
          <w:szCs w:val="24"/>
          <w:u w:val="single"/>
        </w:rPr>
        <w:t>合肥经纬资产经营管理有限公司处置FS420蜘蛛式高空平台等一批报废资产项目</w:t>
      </w:r>
      <w:r>
        <w:rPr>
          <w:rFonts w:ascii="Times New Roman" w:hAnsi="Times New Roman" w:cs="Times New Roman" w:eastAsiaTheme="minorEastAsia"/>
          <w:b/>
          <w:sz w:val="24"/>
          <w:szCs w:val="24"/>
          <w:u w:val="single"/>
        </w:rPr>
        <w:t xml:space="preserve">    </w:t>
      </w:r>
    </w:p>
    <w:p w14:paraId="65F57BEE">
      <w:pPr>
        <w:snapToGrid w:val="0"/>
        <w:spacing w:after="156" w:afterLines="50" w:line="360" w:lineRule="auto"/>
        <w:jc w:val="left"/>
        <w:rPr>
          <w:rFonts w:hint="eastAsia" w:ascii="Times New Roman" w:hAnsi="Times New Roman" w:cs="Times New Roman" w:eastAsiaTheme="minorEastAsia"/>
          <w:b/>
          <w:bCs/>
          <w:sz w:val="24"/>
          <w:szCs w:val="24"/>
          <w:u w:val="single"/>
          <w:lang w:val="en-US" w:eastAsia="zh-CN"/>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b/>
          <w:sz w:val="24"/>
          <w:szCs w:val="24"/>
          <w:u w:val="single"/>
        </w:rPr>
        <w:t>2026JWZCZB</w:t>
      </w:r>
      <w:r>
        <w:rPr>
          <w:rFonts w:hint="eastAsia" w:ascii="Times New Roman" w:hAnsi="Times New Roman" w:cs="Times New Roman"/>
          <w:b/>
          <w:sz w:val="24"/>
          <w:szCs w:val="24"/>
          <w:u w:val="single"/>
          <w:lang w:val="en-US" w:eastAsia="zh-CN"/>
        </w:rPr>
        <w:t xml:space="preserve">002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667D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EAF86C2">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3557" w:type="pct"/>
            <w:tcBorders>
              <w:left w:val="single" w:color="auto" w:sz="4" w:space="0"/>
            </w:tcBorders>
          </w:tcPr>
          <w:p w14:paraId="06344A30">
            <w:pPr>
              <w:rPr>
                <w:rFonts w:ascii="Times New Roman" w:hAnsi="Times New Roman" w:cs="Times New Roman" w:eastAsiaTheme="minorEastAsia"/>
                <w:b/>
                <w:sz w:val="24"/>
                <w:szCs w:val="24"/>
              </w:rPr>
            </w:pPr>
          </w:p>
        </w:tc>
      </w:tr>
      <w:tr w14:paraId="4747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EB7DE01">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3557" w:type="pct"/>
            <w:tcBorders>
              <w:left w:val="single" w:color="auto" w:sz="4" w:space="0"/>
            </w:tcBorders>
            <w:vAlign w:val="center"/>
          </w:tcPr>
          <w:p w14:paraId="4D623280">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全部</w:t>
            </w:r>
          </w:p>
        </w:tc>
      </w:tr>
      <w:tr w14:paraId="7670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00723821">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14:paraId="5FED5E74">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3557" w:type="pct"/>
            <w:vAlign w:val="center"/>
          </w:tcPr>
          <w:p w14:paraId="294986C3">
            <w:pPr>
              <w:snapToGrid w:val="0"/>
              <w:rPr>
                <w:rFonts w:ascii="Times New Roman" w:hAnsi="Times New Roman" w:cs="Times New Roman" w:eastAsiaTheme="minorEastAsia"/>
                <w:sz w:val="24"/>
                <w:szCs w:val="24"/>
              </w:rPr>
            </w:pPr>
          </w:p>
          <w:p w14:paraId="583A13FB">
            <w:pPr>
              <w:snapToGrid w:val="0"/>
              <w:rPr>
                <w:rFonts w:hint="eastAsia" w:ascii="宋体" w:hAnsi="宋体"/>
                <w:color w:val="000000"/>
                <w:sz w:val="24"/>
              </w:rPr>
            </w:pPr>
            <w:r>
              <w:rPr>
                <w:rFonts w:hint="eastAsia" w:ascii="宋体" w:hAnsi="宋体"/>
                <w:color w:val="000000"/>
                <w:sz w:val="24"/>
                <w:u w:val="none"/>
                <w:lang w:eastAsia="zh-CN"/>
              </w:rPr>
              <w:t>含税报价：</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元</w:t>
            </w:r>
          </w:p>
          <w:p w14:paraId="13B55153">
            <w:pPr>
              <w:snapToGrid w:val="0"/>
              <w:rPr>
                <w:rFonts w:hint="eastAsia" w:ascii="宋体" w:hAnsi="宋体"/>
                <w:color w:val="000000"/>
                <w:sz w:val="24"/>
              </w:rPr>
            </w:pPr>
          </w:p>
          <w:p w14:paraId="13FA9B95">
            <w:pPr>
              <w:snapToGrid w:val="0"/>
              <w:rPr>
                <w:rFonts w:ascii="Times New Roman" w:hAnsi="Times New Roman" w:cs="Times New Roman" w:eastAsiaTheme="minorEastAsia"/>
                <w:b/>
                <w:sz w:val="24"/>
                <w:szCs w:val="24"/>
              </w:rPr>
            </w:pPr>
            <w:r>
              <w:rPr>
                <w:rFonts w:hint="eastAsia" w:ascii="宋体" w:hAnsi="宋体"/>
                <w:color w:val="000000"/>
                <w:sz w:val="24"/>
              </w:rPr>
              <w:t>（大写：</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 xml:space="preserve"> 元）</w:t>
            </w:r>
          </w:p>
        </w:tc>
      </w:tr>
      <w:tr w14:paraId="5D3E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4AAD6029">
            <w:pPr>
              <w:snapToGrid w:val="0"/>
              <w:jc w:val="center"/>
              <w:rPr>
                <w:rFonts w:ascii="Times New Roman" w:hAnsi="Times New Roman" w:cs="Times New Roman" w:eastAsiaTheme="minorEastAsia"/>
                <w:b/>
                <w:strike/>
                <w:sz w:val="24"/>
                <w:szCs w:val="24"/>
                <w:highlight w:val="yellow"/>
              </w:rPr>
            </w:pPr>
            <w:r>
              <w:rPr>
                <w:rFonts w:hint="eastAsia" w:ascii="Times New Roman" w:hAnsi="Times New Roman" w:cs="Times New Roman"/>
                <w:b/>
                <w:sz w:val="24"/>
                <w:szCs w:val="24"/>
                <w:lang w:val="en-US" w:eastAsia="zh-CN"/>
              </w:rPr>
              <w:t>服务</w:t>
            </w:r>
            <w:r>
              <w:rPr>
                <w:rFonts w:ascii="Times New Roman" w:hAnsi="Times New Roman" w:cs="Times New Roman" w:eastAsiaTheme="minorEastAsia"/>
                <w:b/>
                <w:sz w:val="24"/>
                <w:szCs w:val="24"/>
              </w:rPr>
              <w:t>周期</w:t>
            </w:r>
          </w:p>
        </w:tc>
        <w:tc>
          <w:tcPr>
            <w:tcW w:w="3557" w:type="pct"/>
            <w:vAlign w:val="center"/>
          </w:tcPr>
          <w:p w14:paraId="6704F1FF">
            <w:pPr>
              <w:snapToGrid w:val="0"/>
              <w:rPr>
                <w:rFonts w:ascii="Times New Roman" w:hAnsi="Times New Roman" w:cs="Times New Roman" w:eastAsiaTheme="minorEastAsia"/>
                <w:b w:val="0"/>
                <w:bCs/>
                <w:strike/>
                <w:sz w:val="24"/>
                <w:szCs w:val="24"/>
                <w:highlight w:val="yellow"/>
              </w:rPr>
            </w:pPr>
            <w:r>
              <w:rPr>
                <w:rFonts w:hint="eastAsia" w:ascii="Times New Roman" w:hAnsi="Times New Roman" w:cs="Times New Roman"/>
                <w:b w:val="0"/>
                <w:bCs/>
                <w:sz w:val="24"/>
                <w:szCs w:val="24"/>
                <w:lang w:val="en-US" w:eastAsia="zh-CN"/>
              </w:rPr>
              <w:t>响应文件要求</w:t>
            </w:r>
          </w:p>
        </w:tc>
      </w:tr>
      <w:tr w14:paraId="4183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363DDDC0">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3557" w:type="pct"/>
          </w:tcPr>
          <w:p w14:paraId="592D12FE">
            <w:pPr>
              <w:rPr>
                <w:rFonts w:ascii="Times New Roman" w:hAnsi="Times New Roman" w:cs="Times New Roman" w:eastAsiaTheme="minorEastAsia"/>
                <w:b/>
                <w:sz w:val="24"/>
                <w:szCs w:val="24"/>
              </w:rPr>
            </w:pPr>
          </w:p>
        </w:tc>
      </w:tr>
    </w:tbl>
    <w:p w14:paraId="18FF6C07">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14:paraId="5090D5FB">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14:paraId="005B6752">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14:paraId="34EB87AF">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b/>
          <w:bCs/>
          <w:sz w:val="24"/>
          <w:szCs w:val="24"/>
          <w:lang w:eastAsia="zh-CN"/>
        </w:rPr>
        <w:t>询比</w:t>
      </w:r>
      <w:r>
        <w:rPr>
          <w:rFonts w:ascii="Times New Roman" w:hAnsi="Times New Roman" w:cs="Times New Roman" w:eastAsiaTheme="minorEastAsia"/>
          <w:b/>
          <w:bCs/>
          <w:sz w:val="24"/>
          <w:szCs w:val="24"/>
        </w:rPr>
        <w:t>文件要求包括了</w:t>
      </w:r>
      <w:r>
        <w:rPr>
          <w:rFonts w:hint="eastAsia" w:ascii="Times New Roman" w:hAnsi="Times New Roman" w:cs="Times New Roman"/>
          <w:b/>
          <w:bCs/>
          <w:sz w:val="24"/>
          <w:szCs w:val="24"/>
          <w:lang w:eastAsia="zh-CN"/>
        </w:rPr>
        <w:t>询比</w:t>
      </w:r>
      <w:r>
        <w:rPr>
          <w:rFonts w:ascii="Times New Roman" w:hAnsi="Times New Roman" w:cs="Times New Roman" w:eastAsiaTheme="minorEastAsia"/>
          <w:b/>
          <w:bCs/>
          <w:sz w:val="24"/>
          <w:szCs w:val="24"/>
        </w:rPr>
        <w:t>文件要求提供的全部内容的所有费用。</w:t>
      </w:r>
    </w:p>
    <w:p w14:paraId="73E543AB">
      <w:pPr>
        <w:adjustRightInd w:val="0"/>
        <w:snapToGrid w:val="0"/>
        <w:spacing w:line="360" w:lineRule="auto"/>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14:paraId="29A0A733">
      <w:pPr>
        <w:spacing w:line="360" w:lineRule="auto"/>
        <w:jc w:val="center"/>
        <w:outlineLvl w:val="2"/>
        <w:rPr>
          <w:rFonts w:ascii="Times New Roman" w:hAnsi="Times New Roman" w:cs="Times New Roman" w:eastAsiaTheme="minorEastAsia"/>
          <w:b/>
          <w:sz w:val="24"/>
        </w:rPr>
      </w:pPr>
    </w:p>
    <w:p w14:paraId="33D04CEA">
      <w:pPr>
        <w:spacing w:line="360" w:lineRule="auto"/>
        <w:jc w:val="center"/>
        <w:outlineLvl w:val="2"/>
        <w:rPr>
          <w:rFonts w:ascii="Times New Roman" w:hAnsi="Times New Roman" w:cs="Times New Roman" w:eastAsiaTheme="minorEastAsia"/>
          <w:b/>
          <w:sz w:val="24"/>
        </w:rPr>
      </w:pPr>
    </w:p>
    <w:p w14:paraId="032E60B1">
      <w:pPr>
        <w:spacing w:line="360" w:lineRule="auto"/>
        <w:jc w:val="center"/>
        <w:outlineLvl w:val="2"/>
        <w:rPr>
          <w:rFonts w:ascii="Times New Roman" w:hAnsi="Times New Roman" w:cs="Times New Roman" w:eastAsiaTheme="minorEastAsia"/>
          <w:b/>
          <w:sz w:val="24"/>
        </w:rPr>
      </w:pPr>
    </w:p>
    <w:p w14:paraId="37A662B8">
      <w:pPr>
        <w:spacing w:line="360" w:lineRule="auto"/>
        <w:jc w:val="center"/>
        <w:outlineLvl w:val="2"/>
        <w:rPr>
          <w:rFonts w:ascii="Times New Roman" w:hAnsi="Times New Roman" w:cs="Times New Roman" w:eastAsiaTheme="minorEastAsia"/>
          <w:b/>
          <w:sz w:val="24"/>
        </w:rPr>
      </w:pPr>
    </w:p>
    <w:p w14:paraId="1F7ADACB">
      <w:pPr>
        <w:spacing w:line="360" w:lineRule="auto"/>
        <w:jc w:val="center"/>
        <w:outlineLvl w:val="2"/>
        <w:rPr>
          <w:rFonts w:ascii="Times New Roman" w:hAnsi="Times New Roman" w:cs="Times New Roman" w:eastAsiaTheme="minorEastAsia"/>
          <w:b/>
          <w:sz w:val="24"/>
        </w:rPr>
      </w:pPr>
    </w:p>
    <w:p w14:paraId="27881C40">
      <w:pPr>
        <w:spacing w:line="360" w:lineRule="auto"/>
        <w:jc w:val="center"/>
        <w:outlineLvl w:val="2"/>
        <w:rPr>
          <w:rFonts w:ascii="Times New Roman" w:hAnsi="Times New Roman" w:cs="Times New Roman" w:eastAsiaTheme="minorEastAsia"/>
          <w:b/>
          <w:sz w:val="24"/>
        </w:rPr>
      </w:pPr>
    </w:p>
    <w:bookmarkEnd w:id="21"/>
    <w:p w14:paraId="3A299AF3">
      <w:pPr>
        <w:rPr>
          <w:rFonts w:hint="eastAsia" w:ascii="Times New Roman" w:hAnsi="Times New Roman" w:cs="Times New Roman" w:eastAsiaTheme="minorEastAsia"/>
          <w:b/>
          <w:sz w:val="24"/>
          <w:lang w:val="en-US" w:eastAsia="zh-CN"/>
        </w:rPr>
      </w:pPr>
      <w:bookmarkStart w:id="22" w:name="_Toc3888"/>
      <w:r>
        <w:rPr>
          <w:rFonts w:hint="eastAsia" w:ascii="Times New Roman" w:hAnsi="Times New Roman" w:cs="Times New Roman" w:eastAsiaTheme="minorEastAsia"/>
          <w:b/>
          <w:sz w:val="24"/>
          <w:lang w:val="en-US" w:eastAsia="zh-CN"/>
        </w:rPr>
        <w:br w:type="page"/>
      </w:r>
    </w:p>
    <w:p w14:paraId="2A541CCA">
      <w:pPr>
        <w:rPr>
          <w:rFonts w:hint="eastAsia" w:ascii="Times New Roman" w:hAnsi="Times New Roman" w:cs="Times New Roman" w:eastAsiaTheme="minorEastAsia"/>
          <w:b/>
          <w:sz w:val="24"/>
          <w:lang w:val="en-US" w:eastAsia="zh-CN"/>
        </w:rPr>
      </w:pPr>
    </w:p>
    <w:p w14:paraId="1967C96F">
      <w:pPr>
        <w:spacing w:line="360" w:lineRule="auto"/>
        <w:jc w:val="center"/>
        <w:outlineLvl w:val="1"/>
        <w:rPr>
          <w:rFonts w:ascii="Times New Roman" w:hAnsi="Times New Roman" w:cs="Times New Roman" w:eastAsiaTheme="minorEastAsia"/>
          <w:b/>
          <w:sz w:val="24"/>
        </w:rPr>
      </w:pPr>
      <w:r>
        <w:rPr>
          <w:rFonts w:hint="eastAsia" w:ascii="Times New Roman" w:hAnsi="Times New Roman" w:cs="Times New Roman"/>
          <w:b/>
          <w:sz w:val="24"/>
          <w:lang w:val="en-US" w:eastAsia="zh-CN"/>
        </w:rPr>
        <w:t>二</w:t>
      </w:r>
      <w:r>
        <w:rPr>
          <w:rFonts w:ascii="Times New Roman" w:hAnsi="Times New Roman" w:cs="Times New Roman" w:eastAsiaTheme="minorEastAsia"/>
          <w:b/>
          <w:sz w:val="24"/>
        </w:rPr>
        <w:t>、其他相关证明材料</w:t>
      </w:r>
      <w:bookmarkEnd w:id="22"/>
    </w:p>
    <w:p w14:paraId="19BDE098">
      <w:pPr>
        <w:spacing w:line="360" w:lineRule="auto"/>
        <w:ind w:firstLine="435"/>
        <w:jc w:val="center"/>
        <w:rPr>
          <w:rFonts w:ascii="Times New Roman" w:hAnsi="Times New Roman" w:cs="Times New Roman" w:eastAsiaTheme="minorEastAsia"/>
          <w:sz w:val="24"/>
        </w:rPr>
      </w:pPr>
      <w:r>
        <w:rPr>
          <w:rFonts w:ascii="Times New Roman" w:hAnsi="Times New Roman" w:cs="Times New Roman" w:eastAsiaTheme="minorEastAsia"/>
          <w:sz w:val="24"/>
        </w:rPr>
        <w:t>提供符合询</w:t>
      </w:r>
      <w:r>
        <w:rPr>
          <w:rFonts w:hint="eastAsia" w:ascii="Times New Roman" w:hAnsi="Times New Roman" w:cs="Times New Roman"/>
          <w:sz w:val="24"/>
          <w:lang w:val="en-US" w:eastAsia="zh-CN"/>
        </w:rPr>
        <w:t>比</w:t>
      </w:r>
      <w:bookmarkStart w:id="23" w:name="_GoBack"/>
      <w:bookmarkEnd w:id="23"/>
      <w:r>
        <w:rPr>
          <w:rFonts w:ascii="Times New Roman" w:hAnsi="Times New Roman" w:cs="Times New Roman" w:eastAsiaTheme="minorEastAsia"/>
          <w:sz w:val="24"/>
        </w:rPr>
        <w:t>公告、招标人要求及评审方法规定的相关证明文件。</w:t>
      </w:r>
    </w:p>
    <w:p w14:paraId="750E5CAA">
      <w:pPr>
        <w:spacing w:line="360" w:lineRule="auto"/>
        <w:ind w:firstLine="480" w:firstLineChars="200"/>
        <w:jc w:val="center"/>
        <w:rPr>
          <w:rFonts w:hint="eastAsia" w:ascii="Times New Roman" w:hAnsi="Times New Roman" w:cs="Times New Roman" w:eastAsiaTheme="minorEastAsia"/>
          <w:sz w:val="24"/>
          <w:lang w:eastAsia="zh-CN"/>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投标人为</w:t>
      </w:r>
      <w:r>
        <w:rPr>
          <w:rFonts w:hint="eastAsia" w:ascii="Times New Roman" w:hAnsi="Times New Roman" w:cs="Times New Roman" w:eastAsiaTheme="minorEastAsia"/>
          <w:sz w:val="24"/>
          <w:szCs w:val="24"/>
          <w:lang w:eastAsia="zh-CN"/>
        </w:rPr>
        <w:t>境内企事业法人</w:t>
      </w:r>
      <w:r>
        <w:rPr>
          <w:rFonts w:hint="eastAsia" w:ascii="Times New Roman" w:hAnsi="Times New Roman" w:cs="Times New Roman"/>
          <w:sz w:val="24"/>
          <w:szCs w:val="24"/>
          <w:lang w:val="en-US" w:eastAsia="zh-CN"/>
        </w:rPr>
        <w:t>需提供</w:t>
      </w:r>
      <w:r>
        <w:rPr>
          <w:rFonts w:hint="eastAsia" w:ascii="Times New Roman" w:hAnsi="Times New Roman" w:cs="Times New Roman"/>
          <w:sz w:val="24"/>
          <w:lang w:val="en-US" w:eastAsia="zh-CN"/>
        </w:rPr>
        <w:t>营业执照和法人身份证复印件；投标人为</w:t>
      </w:r>
      <w:r>
        <w:rPr>
          <w:rFonts w:hint="eastAsia" w:ascii="Times New Roman" w:hAnsi="Times New Roman" w:cs="Times New Roman" w:eastAsiaTheme="minorEastAsia"/>
          <w:sz w:val="24"/>
          <w:szCs w:val="24"/>
          <w:lang w:val="en-US" w:eastAsia="zh-CN"/>
        </w:rPr>
        <w:t>自然人，需提供</w:t>
      </w:r>
      <w:r>
        <w:rPr>
          <w:rFonts w:hint="eastAsia" w:ascii="Times New Roman" w:hAnsi="Times New Roman" w:cs="Times New Roman"/>
          <w:sz w:val="24"/>
          <w:lang w:val="en-US" w:eastAsia="zh-CN"/>
        </w:rPr>
        <w:t>身份证复印件等</w:t>
      </w:r>
      <w:r>
        <w:rPr>
          <w:rFonts w:hint="eastAsia" w:ascii="Times New Roman" w:hAnsi="Times New Roman" w:cs="Times New Roman"/>
          <w:sz w:val="24"/>
          <w:lang w:eastAsia="zh-CN"/>
        </w:rPr>
        <w:t>）</w:t>
      </w:r>
    </w:p>
    <w:p w14:paraId="15AF0B57">
      <w:pPr>
        <w:rPr>
          <w:rFonts w:ascii="Times New Roman" w:hAnsi="Times New Roman" w:cs="Times New Roman" w:eastAsiaTheme="minorEastAsia"/>
          <w:sz w:val="24"/>
        </w:rPr>
      </w:pPr>
    </w:p>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6C04E26-8546-4025-80DC-D438BDCBE85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D7F4580-A0F3-4422-A9D7-2BB471F6BDF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embedRegular r:id="rId3" w:fontKey="{27F7C0B3-BAD4-42F2-8D48-6E7800DCF0F9}"/>
  </w:font>
  <w:font w:name="Segoe UI Symbol">
    <w:panose1 w:val="020B0502040204020203"/>
    <w:charset w:val="00"/>
    <w:family w:val="swiss"/>
    <w:pitch w:val="default"/>
    <w:sig w:usb0="800001E3" w:usb1="1200FFEF" w:usb2="00040000" w:usb3="04000000" w:csb0="00000001" w:csb1="40000000"/>
    <w:embedRegular r:id="rId4" w:fontKey="{CF2C361C-35CD-4E6E-A23D-3E8126040F83}"/>
  </w:font>
  <w:font w:name="仿宋_GB2312">
    <w:panose1 w:val="02010609030101010101"/>
    <w:charset w:val="86"/>
    <w:family w:val="modern"/>
    <w:pitch w:val="default"/>
    <w:sig w:usb0="00000001" w:usb1="080E0000" w:usb2="00000000" w:usb3="00000000" w:csb0="00040000" w:csb1="00000000"/>
    <w:embedRegular r:id="rId5" w:fontKey="{D53CE15C-6BCA-4F52-9374-AF1B1AD87A35}"/>
  </w:font>
  <w:font w:name="微软雅黑">
    <w:panose1 w:val="020B0503020204020204"/>
    <w:charset w:val="86"/>
    <w:family w:val="auto"/>
    <w:pitch w:val="default"/>
    <w:sig w:usb0="80000287" w:usb1="2ACF3C50" w:usb2="00000016" w:usb3="00000000" w:csb0="0004001F" w:csb1="00000000"/>
    <w:embedRegular r:id="rId6" w:fontKey="{5F29AF5D-6700-433D-8343-BBA5AA352289}"/>
  </w:font>
  <w:font w:name="WPSEMBED10">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B59E7">
    <w:pPr>
      <w:pStyle w:val="14"/>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0B2999CD">
            <w:pPr>
              <w:pStyle w:val="1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D4684">
    <w:pPr>
      <w:pBdr>
        <w:bottom w:val="none" w:color="auto" w:sz="0" w:space="1"/>
      </w:pBdr>
      <w:snapToGrid w:val="0"/>
      <w:rPr>
        <w:rFonts w:hint="eastAsia" w:ascii="Times New Roman" w:hAnsi="Times New Roman" w:eastAsia="宋体" w:cs="Times New Roman"/>
        <w:sz w:val="24"/>
        <w:szCs w:val="24"/>
        <w:lang w:eastAsia="zh-CN"/>
      </w:rPr>
    </w:pPr>
    <w:r>
      <w:rPr>
        <w:rFonts w:ascii="Times New Roman" w:hAnsi="Times New Roman" w:eastAsia="宋体" w:cs="Times New Roman"/>
        <w:color w:val="000000"/>
        <w:sz w:val="18"/>
        <w:szCs w:val="18"/>
        <w:u w:val="single"/>
      </w:rPr>
      <w:drawing>
        <wp:inline distT="0" distB="0" distL="114300" distR="114300">
          <wp:extent cx="457835" cy="443230"/>
          <wp:effectExtent l="0" t="0" r="1841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szCs w:val="24"/>
        <w:u w:val="single"/>
      </w:rPr>
      <w:t>合肥文旅博览集团有限公司</w:t>
    </w:r>
    <w:r>
      <w:rPr>
        <w:rFonts w:hint="eastAsia" w:ascii="Times New Roman" w:hAnsi="Times New Roman" w:eastAsia="宋体" w:cs="Times New Roman"/>
        <w:sz w:val="24"/>
        <w:szCs w:val="24"/>
        <w:u w:val="single"/>
        <w:lang w:val="en-US" w:eastAsia="zh-CN"/>
      </w:rPr>
      <w:t>询比采购文件示范文本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p>
  <w:p w14:paraId="3E8596C5">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C13F0B43"/>
    <w:multiLevelType w:val="singleLevel"/>
    <w:tmpl w:val="C13F0B43"/>
    <w:lvl w:ilvl="0" w:tentative="0">
      <w:start w:val="1"/>
      <w:numFmt w:val="decimal"/>
      <w:suff w:val="nothing"/>
      <w:lvlText w:val="（%1）"/>
      <w:lvlJc w:val="left"/>
    </w:lvl>
  </w:abstractNum>
  <w:abstractNum w:abstractNumId="3">
    <w:nsid w:val="4424DE01"/>
    <w:multiLevelType w:val="singleLevel"/>
    <w:tmpl w:val="4424DE01"/>
    <w:lvl w:ilvl="0" w:tentative="0">
      <w:start w:val="9"/>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N2M0Mzk5NmZmYjA0NzIyNGQwYzc1MTczNjk5MDM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3F23CE"/>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D2A98"/>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21D6717"/>
    <w:rsid w:val="03AF0B69"/>
    <w:rsid w:val="03E219EE"/>
    <w:rsid w:val="045A3333"/>
    <w:rsid w:val="04620439"/>
    <w:rsid w:val="05EC3108"/>
    <w:rsid w:val="06257970"/>
    <w:rsid w:val="06C07699"/>
    <w:rsid w:val="09442CBE"/>
    <w:rsid w:val="094A1BE5"/>
    <w:rsid w:val="097D52B6"/>
    <w:rsid w:val="09B554AF"/>
    <w:rsid w:val="0B620553"/>
    <w:rsid w:val="0DAB22C6"/>
    <w:rsid w:val="0F23075B"/>
    <w:rsid w:val="10D12B22"/>
    <w:rsid w:val="11554019"/>
    <w:rsid w:val="123C2612"/>
    <w:rsid w:val="129462CC"/>
    <w:rsid w:val="12D60970"/>
    <w:rsid w:val="13397BCE"/>
    <w:rsid w:val="1461171B"/>
    <w:rsid w:val="14717EAE"/>
    <w:rsid w:val="17356927"/>
    <w:rsid w:val="18B232E6"/>
    <w:rsid w:val="18F71640"/>
    <w:rsid w:val="19A4731C"/>
    <w:rsid w:val="19F766BC"/>
    <w:rsid w:val="1A357A52"/>
    <w:rsid w:val="1A6A3C67"/>
    <w:rsid w:val="1A6B5E42"/>
    <w:rsid w:val="1AF96A3E"/>
    <w:rsid w:val="1C1F6775"/>
    <w:rsid w:val="1C9D605B"/>
    <w:rsid w:val="1CDB6B83"/>
    <w:rsid w:val="1D1F2615"/>
    <w:rsid w:val="1DAA2521"/>
    <w:rsid w:val="205242A2"/>
    <w:rsid w:val="20E74328"/>
    <w:rsid w:val="23737B15"/>
    <w:rsid w:val="23B75C54"/>
    <w:rsid w:val="245F009A"/>
    <w:rsid w:val="25164BFC"/>
    <w:rsid w:val="26522036"/>
    <w:rsid w:val="27361586"/>
    <w:rsid w:val="27433CA3"/>
    <w:rsid w:val="2783171D"/>
    <w:rsid w:val="291B73BA"/>
    <w:rsid w:val="29A66C87"/>
    <w:rsid w:val="29E5020D"/>
    <w:rsid w:val="2C247DAC"/>
    <w:rsid w:val="2CC14B77"/>
    <w:rsid w:val="2D165D22"/>
    <w:rsid w:val="2D1A7254"/>
    <w:rsid w:val="2D583F59"/>
    <w:rsid w:val="2F733923"/>
    <w:rsid w:val="2F760751"/>
    <w:rsid w:val="30902F79"/>
    <w:rsid w:val="31EB11BF"/>
    <w:rsid w:val="32D57EA5"/>
    <w:rsid w:val="33075DFB"/>
    <w:rsid w:val="33263D6A"/>
    <w:rsid w:val="34234E4D"/>
    <w:rsid w:val="35111E45"/>
    <w:rsid w:val="35156C7E"/>
    <w:rsid w:val="35A43BDE"/>
    <w:rsid w:val="35CF4AD8"/>
    <w:rsid w:val="379C71E3"/>
    <w:rsid w:val="37C91FA2"/>
    <w:rsid w:val="382F0EF0"/>
    <w:rsid w:val="38B779C2"/>
    <w:rsid w:val="39B74BDE"/>
    <w:rsid w:val="3A0D2667"/>
    <w:rsid w:val="3B3B6D13"/>
    <w:rsid w:val="3C624C9C"/>
    <w:rsid w:val="3EF47905"/>
    <w:rsid w:val="3F31011D"/>
    <w:rsid w:val="3F53046B"/>
    <w:rsid w:val="40780A59"/>
    <w:rsid w:val="40A95969"/>
    <w:rsid w:val="416A1FAE"/>
    <w:rsid w:val="42473E18"/>
    <w:rsid w:val="42784CF1"/>
    <w:rsid w:val="438C286B"/>
    <w:rsid w:val="44F77811"/>
    <w:rsid w:val="47DB5B06"/>
    <w:rsid w:val="49251CB7"/>
    <w:rsid w:val="49C648EA"/>
    <w:rsid w:val="4BDA4326"/>
    <w:rsid w:val="4C72455F"/>
    <w:rsid w:val="4DB311C4"/>
    <w:rsid w:val="4E920EE8"/>
    <w:rsid w:val="4F585C8E"/>
    <w:rsid w:val="4FFC25DB"/>
    <w:rsid w:val="503B1382"/>
    <w:rsid w:val="51FF0996"/>
    <w:rsid w:val="52F82D96"/>
    <w:rsid w:val="547B4EA9"/>
    <w:rsid w:val="5485116E"/>
    <w:rsid w:val="550F7B55"/>
    <w:rsid w:val="55122FD8"/>
    <w:rsid w:val="55926D29"/>
    <w:rsid w:val="57572CCF"/>
    <w:rsid w:val="57FF5D84"/>
    <w:rsid w:val="583510EF"/>
    <w:rsid w:val="586A4106"/>
    <w:rsid w:val="587C22F8"/>
    <w:rsid w:val="58E53EC8"/>
    <w:rsid w:val="599B1268"/>
    <w:rsid w:val="59AD5BB6"/>
    <w:rsid w:val="59E766FB"/>
    <w:rsid w:val="5AF2460E"/>
    <w:rsid w:val="5BD448EE"/>
    <w:rsid w:val="5C3F2EED"/>
    <w:rsid w:val="5C8968EE"/>
    <w:rsid w:val="5CF62206"/>
    <w:rsid w:val="5D63417B"/>
    <w:rsid w:val="5EB24435"/>
    <w:rsid w:val="5F1C412F"/>
    <w:rsid w:val="5F596331"/>
    <w:rsid w:val="60B151FE"/>
    <w:rsid w:val="610C68D8"/>
    <w:rsid w:val="63716633"/>
    <w:rsid w:val="64586600"/>
    <w:rsid w:val="64F97173"/>
    <w:rsid w:val="654B14AA"/>
    <w:rsid w:val="65B67155"/>
    <w:rsid w:val="677A4699"/>
    <w:rsid w:val="67B8418F"/>
    <w:rsid w:val="68D05ED0"/>
    <w:rsid w:val="69026CAA"/>
    <w:rsid w:val="6AF723A7"/>
    <w:rsid w:val="6B0B69E8"/>
    <w:rsid w:val="6B486391"/>
    <w:rsid w:val="6BE566A3"/>
    <w:rsid w:val="6CC45353"/>
    <w:rsid w:val="6CDE4879"/>
    <w:rsid w:val="6E1A0886"/>
    <w:rsid w:val="7016507D"/>
    <w:rsid w:val="71B0505E"/>
    <w:rsid w:val="73E35E45"/>
    <w:rsid w:val="74474627"/>
    <w:rsid w:val="74561EEC"/>
    <w:rsid w:val="74F80B83"/>
    <w:rsid w:val="75387844"/>
    <w:rsid w:val="753B10E2"/>
    <w:rsid w:val="76D50550"/>
    <w:rsid w:val="772F044F"/>
    <w:rsid w:val="77324D59"/>
    <w:rsid w:val="781504EF"/>
    <w:rsid w:val="783A06B1"/>
    <w:rsid w:val="78435456"/>
    <w:rsid w:val="79D24A65"/>
    <w:rsid w:val="7AAF0711"/>
    <w:rsid w:val="7ACD0A2E"/>
    <w:rsid w:val="7B3B37AA"/>
    <w:rsid w:val="7B670E83"/>
    <w:rsid w:val="7CB441DC"/>
    <w:rsid w:val="7D4F0CB3"/>
    <w:rsid w:val="7DB87774"/>
    <w:rsid w:val="7E063324"/>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5"/>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47"/>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2"/>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autoRedefine/>
    <w:semiHidden/>
    <w:qFormat/>
    <w:uiPriority w:val="0"/>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44"/>
    <w:autoRedefine/>
    <w:qFormat/>
    <w:uiPriority w:val="0"/>
    <w:pPr>
      <w:jc w:val="left"/>
    </w:pPr>
  </w:style>
  <w:style w:type="paragraph" w:styleId="8">
    <w:name w:val="Body Text"/>
    <w:basedOn w:val="1"/>
    <w:next w:val="1"/>
    <w:autoRedefine/>
    <w:qFormat/>
    <w:uiPriority w:val="0"/>
    <w:pPr>
      <w:spacing w:after="120" w:afterLines="0" w:afterAutospacing="0"/>
    </w:pPr>
  </w:style>
  <w:style w:type="paragraph" w:styleId="9">
    <w:name w:val="Body Text Indent"/>
    <w:basedOn w:val="1"/>
    <w:autoRedefine/>
    <w:semiHidden/>
    <w:unhideWhenUsed/>
    <w:qFormat/>
    <w:uiPriority w:val="0"/>
    <w:pPr>
      <w:spacing w:after="120"/>
      <w:ind w:left="420" w:leftChars="200"/>
    </w:pPr>
  </w:style>
  <w:style w:type="paragraph" w:styleId="10">
    <w:name w:val="toc 3"/>
    <w:basedOn w:val="1"/>
    <w:next w:val="1"/>
    <w:autoRedefine/>
    <w:qFormat/>
    <w:uiPriority w:val="0"/>
    <w:pPr>
      <w:ind w:left="840" w:leftChars="400"/>
    </w:pPr>
  </w:style>
  <w:style w:type="paragraph" w:styleId="11">
    <w:name w:val="Plain Text"/>
    <w:basedOn w:val="1"/>
    <w:link w:val="33"/>
    <w:autoRedefine/>
    <w:qFormat/>
    <w:uiPriority w:val="0"/>
    <w:rPr>
      <w:rFonts w:ascii="宋体" w:hAnsi="Courier New"/>
    </w:rPr>
  </w:style>
  <w:style w:type="paragraph" w:styleId="12">
    <w:name w:val="Date"/>
    <w:basedOn w:val="1"/>
    <w:next w:val="1"/>
    <w:link w:val="40"/>
    <w:autoRedefine/>
    <w:qFormat/>
    <w:uiPriority w:val="0"/>
    <w:pPr>
      <w:ind w:left="100" w:leftChars="2500"/>
    </w:pPr>
  </w:style>
  <w:style w:type="paragraph" w:styleId="13">
    <w:name w:val="Balloon Text"/>
    <w:basedOn w:val="1"/>
    <w:link w:val="27"/>
    <w:autoRedefine/>
    <w:qFormat/>
    <w:uiPriority w:val="0"/>
    <w:rPr>
      <w:sz w:val="18"/>
    </w:rPr>
  </w:style>
  <w:style w:type="paragraph" w:styleId="14">
    <w:name w:val="footer"/>
    <w:basedOn w:val="1"/>
    <w:link w:val="32"/>
    <w:autoRedefine/>
    <w:qFormat/>
    <w:uiPriority w:val="0"/>
    <w:pPr>
      <w:tabs>
        <w:tab w:val="center" w:pos="4153"/>
        <w:tab w:val="right" w:pos="8306"/>
      </w:tabs>
      <w:snapToGrid w:val="0"/>
      <w:jc w:val="left"/>
    </w:pPr>
    <w:rPr>
      <w:sz w:val="18"/>
    </w:rPr>
  </w:style>
  <w:style w:type="paragraph" w:styleId="15">
    <w:name w:val="header"/>
    <w:basedOn w:val="1"/>
    <w:link w:val="3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autoRedefine/>
    <w:qFormat/>
    <w:uiPriority w:val="0"/>
  </w:style>
  <w:style w:type="paragraph" w:styleId="17">
    <w:name w:val="toc 2"/>
    <w:basedOn w:val="1"/>
    <w:next w:val="1"/>
    <w:autoRedefine/>
    <w:qFormat/>
    <w:uiPriority w:val="0"/>
    <w:pPr>
      <w:ind w:left="420" w:leftChars="200"/>
    </w:pPr>
  </w:style>
  <w:style w:type="paragraph" w:styleId="18">
    <w:name w:val="index 1"/>
    <w:basedOn w:val="1"/>
    <w:next w:val="1"/>
    <w:autoRedefine/>
    <w:qFormat/>
    <w:uiPriority w:val="0"/>
  </w:style>
  <w:style w:type="paragraph" w:styleId="19">
    <w:name w:val="Body Text First Indent"/>
    <w:basedOn w:val="8"/>
    <w:autoRedefine/>
    <w:qFormat/>
    <w:uiPriority w:val="0"/>
    <w:pPr>
      <w:ind w:firstLine="420" w:firstLineChars="100"/>
    </w:pPr>
  </w:style>
  <w:style w:type="paragraph" w:styleId="20">
    <w:name w:val="Body Text First Indent 2"/>
    <w:basedOn w:val="9"/>
    <w:autoRedefine/>
    <w:semiHidden/>
    <w:unhideWhenUsed/>
    <w:qFormat/>
    <w:uiPriority w:val="99"/>
    <w:pPr>
      <w:ind w:firstLine="420" w:firstLineChars="200"/>
    </w:pPr>
  </w:style>
  <w:style w:type="table" w:styleId="22">
    <w:name w:val="Table Grid"/>
    <w:basedOn w:val="21"/>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Emphasis"/>
    <w:basedOn w:val="23"/>
    <w:autoRedefine/>
    <w:qFormat/>
    <w:uiPriority w:val="0"/>
    <w:rPr>
      <w:i/>
    </w:rPr>
  </w:style>
  <w:style w:type="character" w:styleId="26">
    <w:name w:val="Hyperlink"/>
    <w:basedOn w:val="23"/>
    <w:autoRedefine/>
    <w:qFormat/>
    <w:uiPriority w:val="0"/>
    <w:rPr>
      <w:color w:val="0000FF"/>
      <w:u w:val="single"/>
    </w:rPr>
  </w:style>
  <w:style w:type="character" w:customStyle="1" w:styleId="27">
    <w:name w:val="批注框文本 字符"/>
    <w:link w:val="13"/>
    <w:autoRedefine/>
    <w:semiHidden/>
    <w:qFormat/>
    <w:uiPriority w:val="99"/>
    <w:rPr>
      <w:sz w:val="18"/>
    </w:rPr>
  </w:style>
  <w:style w:type="paragraph" w:customStyle="1" w:styleId="2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0">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字符"/>
    <w:link w:val="15"/>
    <w:autoRedefine/>
    <w:qFormat/>
    <w:uiPriority w:val="0"/>
    <w:rPr>
      <w:sz w:val="18"/>
    </w:rPr>
  </w:style>
  <w:style w:type="character" w:customStyle="1" w:styleId="32">
    <w:name w:val="页脚 字符"/>
    <w:link w:val="14"/>
    <w:autoRedefine/>
    <w:qFormat/>
    <w:uiPriority w:val="99"/>
    <w:rPr>
      <w:sz w:val="18"/>
    </w:rPr>
  </w:style>
  <w:style w:type="character" w:customStyle="1" w:styleId="33">
    <w:name w:val="纯文本 字符"/>
    <w:link w:val="11"/>
    <w:autoRedefine/>
    <w:qFormat/>
    <w:uiPriority w:val="0"/>
    <w:rPr>
      <w:rFonts w:ascii="宋体" w:hAnsi="Courier New"/>
    </w:rPr>
  </w:style>
  <w:style w:type="character" w:customStyle="1" w:styleId="34">
    <w:name w:val="纯文本 字符1"/>
    <w:basedOn w:val="23"/>
    <w:autoRedefine/>
    <w:semiHidden/>
    <w:qFormat/>
    <w:uiPriority w:val="99"/>
    <w:rPr>
      <w:rFonts w:hAnsi="Courier New" w:cs="Courier New" w:asciiTheme="minorEastAsia"/>
      <w:szCs w:val="20"/>
    </w:rPr>
  </w:style>
  <w:style w:type="character" w:customStyle="1" w:styleId="35">
    <w:name w:val="未处理的提及1"/>
    <w:basedOn w:val="23"/>
    <w:autoRedefine/>
    <w:semiHidden/>
    <w:unhideWhenUsed/>
    <w:qFormat/>
    <w:uiPriority w:val="99"/>
    <w:rPr>
      <w:color w:val="605E5C"/>
      <w:shd w:val="clear" w:color="auto" w:fill="E1DFDD"/>
    </w:rPr>
  </w:style>
  <w:style w:type="paragraph" w:styleId="36">
    <w:name w:val="List Paragraph"/>
    <w:basedOn w:val="1"/>
    <w:autoRedefine/>
    <w:qFormat/>
    <w:uiPriority w:val="34"/>
    <w:pPr>
      <w:ind w:firstLine="420" w:firstLineChars="200"/>
    </w:pPr>
  </w:style>
  <w:style w:type="paragraph" w:customStyle="1" w:styleId="37">
    <w:name w:val="Char Char Char Char Char Char Char1 Char"/>
    <w:basedOn w:val="1"/>
    <w:autoRedefine/>
    <w:qFormat/>
    <w:uiPriority w:val="0"/>
    <w:rPr>
      <w:rFonts w:ascii="Arial" w:hAnsi="Arial" w:eastAsia="宋体" w:cs="Arial"/>
      <w:sz w:val="24"/>
    </w:rPr>
  </w:style>
  <w:style w:type="table" w:customStyle="1" w:styleId="38">
    <w:name w:val="网格表 1 浅色1"/>
    <w:basedOn w:val="2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3"/>
    <w:autoRedefine/>
    <w:semiHidden/>
    <w:qFormat/>
    <w:uiPriority w:val="99"/>
    <w:rPr>
      <w:rFonts w:ascii="@仿宋_GB2312" w:hAnsi="@仿宋_GB2312" w:eastAsia="@仿宋_GB2312" w:cs="@仿宋_GB2312"/>
      <w:szCs w:val="20"/>
    </w:rPr>
  </w:style>
  <w:style w:type="character" w:customStyle="1" w:styleId="40">
    <w:name w:val="日期 字符1"/>
    <w:link w:val="12"/>
    <w:autoRedefine/>
    <w:qFormat/>
    <w:uiPriority w:val="0"/>
  </w:style>
  <w:style w:type="character" w:customStyle="1" w:styleId="41">
    <w:name w:val="纯文本 Char1"/>
    <w:link w:val="42"/>
    <w:autoRedefine/>
    <w:qFormat/>
    <w:locked/>
    <w:uiPriority w:val="0"/>
    <w:rPr>
      <w:rFonts w:ascii="Arial" w:hAnsi="Arial" w:eastAsia="Arial"/>
      <w:kern w:val="2"/>
      <w:sz w:val="21"/>
      <w:lang w:val="en-US" w:eastAsia="zh-CN" w:bidi="ar-SA"/>
    </w:rPr>
  </w:style>
  <w:style w:type="paragraph" w:customStyle="1" w:styleId="42">
    <w:name w:val="纯文本1"/>
    <w:basedOn w:val="1"/>
    <w:link w:val="41"/>
    <w:autoRedefine/>
    <w:qFormat/>
    <w:uiPriority w:val="0"/>
    <w:rPr>
      <w:rFonts w:ascii="Arial" w:hAnsi="Arial" w:eastAsia="Arial" w:cstheme="minorBidi"/>
      <w:szCs w:val="22"/>
    </w:rPr>
  </w:style>
  <w:style w:type="character" w:customStyle="1" w:styleId="43">
    <w:name w:val="批注文字 Char"/>
    <w:basedOn w:val="23"/>
    <w:autoRedefine/>
    <w:semiHidden/>
    <w:qFormat/>
    <w:uiPriority w:val="99"/>
    <w:rPr>
      <w:rFonts w:ascii="@仿宋_GB2312" w:hAnsi="@仿宋_GB2312" w:eastAsia="@仿宋_GB2312" w:cs="@仿宋_GB2312"/>
      <w:szCs w:val="20"/>
    </w:rPr>
  </w:style>
  <w:style w:type="character" w:customStyle="1" w:styleId="44">
    <w:name w:val="批注文字 字符"/>
    <w:link w:val="7"/>
    <w:autoRedefine/>
    <w:qFormat/>
    <w:uiPriority w:val="0"/>
  </w:style>
  <w:style w:type="character" w:customStyle="1" w:styleId="45">
    <w:name w:val="标题 1 字符"/>
    <w:link w:val="2"/>
    <w:autoRedefine/>
    <w:qFormat/>
    <w:uiPriority w:val="9"/>
    <w:rPr>
      <w:b/>
      <w:kern w:val="44"/>
      <w:sz w:val="44"/>
    </w:rPr>
  </w:style>
  <w:style w:type="paragraph" w:customStyle="1" w:styleId="4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标题 3 字符"/>
    <w:link w:val="4"/>
    <w:autoRedefine/>
    <w:semiHidden/>
    <w:qFormat/>
    <w:uiPriority w:val="9"/>
    <w:rPr>
      <w:b/>
      <w:sz w:val="32"/>
    </w:rPr>
  </w:style>
  <w:style w:type="character" w:customStyle="1" w:styleId="48">
    <w:name w:val="fontstyle01"/>
    <w:basedOn w:val="23"/>
    <w:autoRedefine/>
    <w:qFormat/>
    <w:uiPriority w:val="0"/>
    <w:rPr>
      <w:rFonts w:hint="eastAsia" w:ascii="宋体" w:hAnsi="宋体" w:eastAsia="宋体"/>
      <w:color w:val="000000"/>
      <w:sz w:val="22"/>
      <w:szCs w:val="22"/>
    </w:rPr>
  </w:style>
  <w:style w:type="character" w:customStyle="1" w:styleId="49">
    <w:name w:val="fontstyle21"/>
    <w:basedOn w:val="23"/>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3"/>
    <w:autoRedefine/>
    <w:semiHidden/>
    <w:qFormat/>
    <w:uiPriority w:val="9"/>
    <w:rPr>
      <w:rFonts w:asciiTheme="majorHAnsi" w:hAnsiTheme="majorHAnsi" w:eastAsiaTheme="majorEastAsia" w:cstheme="majorBidi"/>
      <w:b/>
      <w:bCs/>
      <w:sz w:val="28"/>
      <w:szCs w:val="28"/>
    </w:rPr>
  </w:style>
  <w:style w:type="character" w:customStyle="1" w:styleId="52">
    <w:name w:val="标题 4 字符1"/>
    <w:link w:val="5"/>
    <w:autoRedefine/>
    <w:qFormat/>
    <w:uiPriority w:val="0"/>
    <w:rPr>
      <w:rFonts w:ascii="Arial" w:hAnsi="Arial" w:eastAsia="黑体"/>
      <w:b/>
      <w:sz w:val="28"/>
    </w:rPr>
  </w:style>
  <w:style w:type="paragraph" w:customStyle="1" w:styleId="53">
    <w:name w:val="普通 (Web)"/>
    <w:basedOn w:val="1"/>
    <w:autoRedefine/>
    <w:qFormat/>
    <w:uiPriority w:val="0"/>
    <w:pPr>
      <w:widowControl/>
      <w:spacing w:before="100" w:beforeAutospacing="1" w:after="100" w:afterAutospacing="1"/>
      <w:jc w:val="left"/>
    </w:pPr>
    <w:rPr>
      <w:rFonts w:cs="Times New Roman"/>
      <w:sz w:val="24"/>
      <w:szCs w:val="24"/>
    </w:rPr>
  </w:style>
  <w:style w:type="character" w:customStyle="1" w:styleId="54">
    <w:name w:val="font11"/>
    <w:basedOn w:val="23"/>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27</Pages>
  <Words>1272</Words>
  <Characters>1459</Characters>
  <Lines>180</Lines>
  <Paragraphs>50</Paragraphs>
  <TotalTime>43</TotalTime>
  <ScaleCrop>false</ScaleCrop>
  <LinksUpToDate>false</LinksUpToDate>
  <CharactersWithSpaces>1560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WSY</cp:lastModifiedBy>
  <cp:lastPrinted>2026-01-13T03:38:00Z</cp:lastPrinted>
  <dcterms:modified xsi:type="dcterms:W3CDTF">2026-01-15T03:28:09Z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8E1953D3A0E24131A6017E0A7E576F66_13</vt:lpwstr>
  </property>
  <property fmtid="{D5CDD505-2E9C-101B-9397-08002B2CF9AE}" pid="4" name="KSOTemplateDocerSaveRecord">
    <vt:lpwstr>eyJoZGlkIjoiNWExNTI1ZGQwODJjMjlhMzE5NDc4YTc0MTg4ZjE2OGYiLCJ1c2VySWQiOiI0MjUyNjQwNzEifQ==</vt:lpwstr>
  </property>
</Properties>
</file>