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bookmarkStart w:id="3" w:name="_GoBack"/>
      <w:bookmarkEnd w:id="3"/>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0" distR="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1026" name="直接连接符 3"/>
                <wp:cNvGraphicFramePr/>
                <a:graphic xmlns:a="http://schemas.openxmlformats.org/drawingml/2006/main">
                  <a:graphicData uri="http://schemas.microsoft.com/office/word/2010/wordprocessingShape">
                    <wps:wsp>
                      <wps:cNvCnPr/>
                      <wps:spPr>
                        <a:xfrm>
                          <a:off x="0" y="0"/>
                          <a:ext cx="5398135" cy="0"/>
                        </a:xfrm>
                        <a:prstGeom prst="line">
                          <a:avLst/>
                        </a:prstGeom>
                        <a:ln w="28575" cap="flat" cmpd="sng">
                          <a:solidFill>
                            <a:srgbClr val="FF0000"/>
                          </a:solidFill>
                          <a:prstDash val="solid"/>
                          <a:round/>
                        </a:ln>
                      </wps:spPr>
                      <wps:bodyPr/>
                    </wps:wsp>
                  </a:graphicData>
                </a:graphic>
              </wp:anchor>
            </w:drawing>
          </mc:Choice>
          <mc:Fallback>
            <w:pict>
              <v:line id="直接连接符 3"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unDtDUAAAABAEAAA8AAAAAAAAAAQAgAAAA&#10;IgAAAGRycy9kb3ducmV2LnhtbFBLAQIUABQAAAAIAIdO4kDRgzdN1gEAAJIDAAAOAAAAAAAAAAEA&#10;IAAAACMBAABkcnMvZTJvRG9jLnhtbFBLBQYAAAAABgAGAFkBAABrBQ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bookmarkStart w:id="0" w:name="OLE_LINK2"/>
      <w:r>
        <w:rPr>
          <w:rFonts w:hint="eastAsia" w:ascii="方正小标宋简体" w:hAnsi="方正小标宋简体" w:eastAsia="方正小标宋简体" w:cs="方正小标宋简体"/>
          <w:b w:val="0"/>
          <w:bCs/>
          <w:color w:val="000000"/>
          <w:sz w:val="44"/>
          <w:szCs w:val="44"/>
          <w:lang w:val="en-US" w:eastAsia="zh-CN"/>
        </w:rPr>
        <w:t>询价文件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ind w:firstLine="640" w:firstLineChars="200"/>
        <w:jc w:val="both"/>
        <w:rPr>
          <w:rFonts w:hint="eastAsia" w:ascii="仿宋_GB2312" w:hAnsi="宋体" w:eastAsia="仿宋_GB2312" w:cs="宋体"/>
          <w:bCs/>
          <w:color w:val="000000"/>
          <w:sz w:val="32"/>
          <w:szCs w:val="32"/>
          <w:lang w:val="en-US" w:eastAsia="zh-CN"/>
        </w:rPr>
      </w:pPr>
      <w:bookmarkStart w:id="1" w:name="OLE_LINK1"/>
      <w:r>
        <w:rPr>
          <w:rFonts w:hint="eastAsia" w:ascii="仿宋_GB2312" w:hAnsi="宋体" w:eastAsia="仿宋_GB2312" w:cs="宋体"/>
          <w:bCs/>
          <w:color w:val="000000"/>
          <w:sz w:val="32"/>
          <w:szCs w:val="32"/>
          <w:lang w:val="en-US" w:eastAsia="zh-CN"/>
        </w:rPr>
        <w:t>2025-2026赛季WCBA及NBL（合肥赛区）赛事场边LED广告屏租赁服务</w:t>
      </w:r>
      <w:bookmarkEnd w:id="1"/>
      <w:r>
        <w:rPr>
          <w:rFonts w:hint="eastAsia" w:ascii="仿宋_GB2312" w:hAnsi="宋体" w:eastAsia="仿宋_GB2312" w:cs="宋体"/>
          <w:bCs/>
          <w:color w:val="000000"/>
          <w:sz w:val="32"/>
          <w:szCs w:val="32"/>
          <w:lang w:val="en-US" w:eastAsia="zh-CN"/>
        </w:rPr>
        <w:t>采购项目，现通过询价方式择优选择一家服务单位，本次询价采用有效最低价法中标方式，欢迎具备条件的单位参与。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1.项目名称：2025-2026赛季WCBA及NBL（合肥赛区）赛事场边LED广告屏租赁服务</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2.项目编号：2025TYGSCG29</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3.项目概算：19万元</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4.项目类别：服务类</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宋体" w:eastAsia="仿宋_GB2312" w:cs="宋体"/>
          <w:bCs/>
          <w:color w:val="000000"/>
          <w:sz w:val="32"/>
          <w:szCs w:val="32"/>
          <w:lang w:val="en-US" w:eastAsia="zh-CN"/>
        </w:rPr>
        <w:t>6.项目地址：合肥体育中心</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pPr>
        <w:spacing w:line="560" w:lineRule="exact"/>
        <w:ind w:firstLine="640"/>
        <w:jc w:val="both"/>
        <w:rPr>
          <w:rFonts w:ascii="仿宋_GB2312" w:hAnsi="仿宋_GB2312" w:eastAsia="仿宋_GB2312" w:cs="仿宋_GB2312"/>
          <w:color w:val="000000"/>
          <w:kern w:val="0"/>
          <w:sz w:val="31"/>
          <w:szCs w:val="31"/>
          <w:lang w:val="en-US" w:eastAsia="zh-CN"/>
        </w:rPr>
      </w:pPr>
      <w:r>
        <w:rPr>
          <w:rFonts w:ascii="仿宋_GB2312" w:hAnsi="仿宋_GB2312" w:eastAsia="仿宋_GB2312" w:cs="仿宋_GB2312"/>
          <w:color w:val="000000"/>
          <w:kern w:val="0"/>
          <w:sz w:val="31"/>
          <w:szCs w:val="31"/>
          <w:lang w:val="en-US" w:eastAsia="zh-CN"/>
        </w:rPr>
        <w:t>2.公司具有合法有效的营业执照，营业执照经营范围需</w:t>
      </w:r>
      <w:r>
        <w:rPr>
          <w:rFonts w:hint="eastAsia" w:ascii="仿宋_GB2312" w:hAnsi="仿宋_GB2312" w:eastAsia="仿宋_GB2312" w:cs="仿宋_GB2312"/>
          <w:color w:val="000000"/>
          <w:kern w:val="0"/>
          <w:sz w:val="31"/>
          <w:szCs w:val="31"/>
          <w:lang w:val="en-US" w:eastAsia="zh-CN"/>
        </w:rPr>
        <w:t>符合招标采购要求</w:t>
      </w:r>
      <w:r>
        <w:rPr>
          <w:rFonts w:ascii="仿宋_GB2312" w:hAnsi="仿宋_GB2312" w:eastAsia="仿宋_GB2312" w:cs="仿宋_GB2312"/>
          <w:color w:val="000000"/>
          <w:kern w:val="0"/>
          <w:sz w:val="31"/>
          <w:szCs w:val="31"/>
          <w:lang w:val="en-US" w:eastAsia="zh-CN"/>
        </w:rPr>
        <w:t>；</w:t>
      </w:r>
    </w:p>
    <w:p>
      <w:pPr>
        <w:spacing w:line="560" w:lineRule="exact"/>
        <w:ind w:firstLine="640"/>
        <w:jc w:val="both"/>
        <w:rPr>
          <w:rFonts w:hint="eastAsia" w:ascii="仿宋_GB2312" w:hAnsi="仿宋_GB2312" w:eastAsia="仿宋_GB2312" w:cs="仿宋_GB2312"/>
          <w:b/>
          <w:bCs/>
          <w:color w:val="000000"/>
          <w:kern w:val="0"/>
          <w:sz w:val="31"/>
          <w:szCs w:val="31"/>
          <w:highlight w:val="none"/>
          <w:lang w:val="en-US" w:eastAsia="zh-CN"/>
        </w:rPr>
      </w:pPr>
      <w:r>
        <w:rPr>
          <w:rFonts w:hint="eastAsia" w:ascii="仿宋_GB2312" w:hAnsi="仿宋_GB2312" w:eastAsia="仿宋_GB2312" w:cs="仿宋_GB2312"/>
          <w:color w:val="000000"/>
          <w:kern w:val="0"/>
          <w:sz w:val="31"/>
          <w:szCs w:val="31"/>
          <w:lang w:val="en-US" w:eastAsia="zh-CN"/>
        </w:rPr>
        <w:t>3.</w:t>
      </w:r>
      <w:r>
        <w:rPr>
          <w:rFonts w:hint="eastAsia" w:ascii="仿宋_GB2312" w:hAnsi="仿宋_GB2312" w:eastAsia="仿宋_GB2312" w:cs="仿宋_GB2312"/>
          <w:b/>
          <w:bCs/>
          <w:color w:val="000000"/>
          <w:kern w:val="0"/>
          <w:sz w:val="31"/>
          <w:szCs w:val="31"/>
          <w:highlight w:val="none"/>
          <w:lang w:val="en-US" w:eastAsia="zh-CN"/>
        </w:rPr>
        <w:t>需提供相关职业篮球联赛（CBA联赛、WCBA联赛、NBL联赛其中之一）或者国家级及以上篮球比赛的场边LED广告屏租赁服务业绩证明材料（证明材料包含合同复印件以及现场布置图片）。</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000000"/>
          <w:kern w:val="0"/>
          <w:sz w:val="31"/>
          <w:szCs w:val="31"/>
          <w:lang w:val="en-US" w:eastAsia="zh-CN"/>
        </w:rPr>
        <w:t>4.</w:t>
      </w:r>
      <w:r>
        <w:rPr>
          <w:rFonts w:hint="eastAsia" w:ascii="仿宋_GB2312" w:hAnsi="宋体" w:eastAsia="仿宋_GB2312" w:cs="宋体"/>
          <w:bCs/>
          <w:color w:val="000000"/>
          <w:sz w:val="32"/>
          <w:szCs w:val="32"/>
          <w:lang w:val="en-US" w:eastAsia="zh-CN"/>
        </w:rPr>
        <w:t>本项目不接受联合体投标；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5.投标人近二年未被列入合肥文旅博览集团有限公司信用评价体系黑名单；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6.投标人存在以下不良信用记录情形之一的，不得推荐为中标候选人，不得确定为中标人：1）投标人被人民法院列入失信被执行人的；2）投标人或其法定代表人或拟派项目经理（项目负责人）被人民检察院列入行贿犯罪档案的；3）投标人被工商行政管理部门列入企业经营异常名录的；4）投标人被税务部门列入重大税收违法案件当事人名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rPr>
      </w:pPr>
      <w:r>
        <w:rPr>
          <w:rFonts w:hint="eastAsia" w:ascii="仿宋_GB2312" w:hAnsi="宋体" w:eastAsia="仿宋_GB2312" w:cs="仿宋_GB2312"/>
          <w:color w:val="000000"/>
          <w:kern w:val="0"/>
          <w:sz w:val="31"/>
          <w:szCs w:val="31"/>
          <w:lang w:val="en-US" w:eastAsia="zh-CN"/>
        </w:rPr>
        <w:t>1.投标</w:t>
      </w:r>
      <w:r>
        <w:rPr>
          <w:rFonts w:ascii="仿宋_GB2312" w:hAnsi="宋体" w:eastAsia="仿宋_GB2312" w:cs="仿宋_GB2312"/>
          <w:color w:val="000000"/>
          <w:kern w:val="0"/>
          <w:sz w:val="31"/>
          <w:szCs w:val="31"/>
          <w:lang w:val="en-US" w:eastAsia="zh-CN"/>
        </w:rPr>
        <w:t>人必须严格按照合同约定时间和内容提供服务</w:t>
      </w:r>
      <w:r>
        <w:rPr>
          <w:rFonts w:hint="eastAsia" w:ascii="仿宋_GB2312" w:hAnsi="宋体" w:eastAsia="仿宋_GB2312" w:cs="仿宋_GB2312"/>
          <w:color w:val="000000"/>
          <w:kern w:val="0"/>
          <w:sz w:val="31"/>
          <w:szCs w:val="31"/>
          <w:lang w:val="en-US" w:eastAsia="zh-CN"/>
        </w:rPr>
        <w:t xml:space="preserve">。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rPr>
      </w:pPr>
      <w:r>
        <w:rPr>
          <w:rFonts w:hint="eastAsia" w:ascii="仿宋_GB2312" w:hAnsi="宋体" w:eastAsia="仿宋_GB2312" w:cs="仿宋_GB2312"/>
          <w:color w:val="000000"/>
          <w:kern w:val="0"/>
          <w:sz w:val="31"/>
          <w:szCs w:val="31"/>
          <w:lang w:val="en-US" w:eastAsia="zh-CN"/>
        </w:rPr>
        <w:t>2.投标人确保提供的设备完整性、安全性、耐用性，不得出现黑屏、花屏、色彩失真及死灯等现象。</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rPr>
      </w:pPr>
      <w:r>
        <w:rPr>
          <w:rFonts w:hint="eastAsia" w:ascii="仿宋_GB2312" w:hAnsi="宋体" w:eastAsia="仿宋_GB2312" w:cs="仿宋_GB2312"/>
          <w:color w:val="000000"/>
          <w:kern w:val="0"/>
          <w:sz w:val="31"/>
          <w:szCs w:val="31"/>
          <w:lang w:val="en-US" w:eastAsia="zh-CN"/>
        </w:rPr>
        <w:t>3.设备出现故障时投标人应在4小时内及时安排技术人员维修更换，设备租赁期间应配备齐全备品备件（最少2块备用显示屏及2条数据线）。</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rPr>
      </w:pPr>
      <w:r>
        <w:rPr>
          <w:rFonts w:hint="eastAsia" w:ascii="仿宋_GB2312" w:hAnsi="宋体" w:eastAsia="仿宋_GB2312" w:cs="仿宋_GB2312"/>
          <w:color w:val="000000"/>
          <w:kern w:val="0"/>
          <w:sz w:val="31"/>
          <w:szCs w:val="31"/>
          <w:lang w:val="en-US" w:eastAsia="zh-CN"/>
        </w:rPr>
        <w:t xml:space="preserve">4.投标人确保提供的LED广告屏的参数、尺寸、高度、后部保护等必须满足篮协相应要求。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rPr>
      </w:pPr>
      <w:r>
        <w:rPr>
          <w:rFonts w:hint="eastAsia" w:ascii="仿宋_GB2312" w:hAnsi="宋体" w:eastAsia="仿宋_GB2312" w:cs="仿宋_GB2312"/>
          <w:color w:val="000000"/>
          <w:kern w:val="0"/>
          <w:sz w:val="31"/>
          <w:szCs w:val="31"/>
          <w:lang w:val="en-US" w:eastAsia="zh-CN"/>
        </w:rPr>
        <w:t>5.重要比赛、如首场比赛、决赛，安排技术人员驻场提供服务支持。</w:t>
      </w:r>
    </w:p>
    <w:p>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rPr>
      </w:pPr>
      <w:r>
        <w:rPr>
          <w:rFonts w:hint="eastAsia" w:ascii="仿宋_GB2312" w:hAnsi="宋体" w:eastAsia="仿宋_GB2312" w:cs="仿宋_GB2312"/>
          <w:color w:val="000000"/>
          <w:kern w:val="0"/>
          <w:sz w:val="31"/>
          <w:szCs w:val="31"/>
          <w:lang w:val="en-US" w:eastAsia="zh-CN"/>
        </w:rPr>
        <w:t>6.投标人根据赛事及场馆需求如期完成撤转场工作。</w:t>
      </w:r>
    </w:p>
    <w:p>
      <w:pPr>
        <w:spacing w:line="560" w:lineRule="exact"/>
        <w:ind w:firstLine="643" w:firstLineChars="200"/>
        <w:jc w:val="both"/>
        <w:rPr>
          <w:rFonts w:hint="eastAsia" w:ascii="仿宋_GB2312" w:hAnsi="宋体" w:eastAsia="仿宋_GB2312" w:cs="宋体"/>
          <w:b/>
          <w:bCs w:val="0"/>
          <w:color w:val="000000"/>
          <w:kern w:val="0"/>
          <w:sz w:val="32"/>
          <w:szCs w:val="32"/>
          <w:lang w:val="en-US" w:eastAsia="zh-CN"/>
        </w:rPr>
      </w:pPr>
      <w:r>
        <w:rPr>
          <w:rFonts w:hint="eastAsia" w:ascii="仿宋_GB2312" w:hAnsi="宋体" w:eastAsia="仿宋_GB2312" w:cs="宋体"/>
          <w:b/>
          <w:bCs w:val="0"/>
          <w:color w:val="000000"/>
          <w:kern w:val="0"/>
          <w:sz w:val="32"/>
          <w:szCs w:val="32"/>
          <w:lang w:val="en-US" w:eastAsia="zh-CN"/>
        </w:rPr>
        <w:t>四、服务地点及期限</w:t>
      </w:r>
    </w:p>
    <w:p>
      <w:pPr>
        <w:pStyle w:val="5"/>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1.LED屏租赁服务用于合肥体育中心及部分外部场馆。</w:t>
      </w:r>
    </w:p>
    <w:p>
      <w:pPr>
        <w:keepNext w:val="0"/>
        <w:keepLines w:val="0"/>
        <w:widowControl/>
        <w:suppressLineNumbers w:val="0"/>
        <w:ind w:firstLine="640" w:firstLineChars="200"/>
        <w:jc w:val="left"/>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2.服务期限：2025-2026赛季WCBA（合肥赛区）全赛程，2025-2026赛季NBL（合肥赛区）全赛程。</w:t>
      </w:r>
    </w:p>
    <w:p>
      <w:pPr>
        <w:spacing w:line="560" w:lineRule="exact"/>
        <w:ind w:firstLine="643" w:firstLineChars="200"/>
        <w:jc w:val="both"/>
        <w:rPr>
          <w:rFonts w:hint="default"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五、付款方式</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1.本合同涉及费用均以人民币结算及支付。</w:t>
      </w:r>
    </w:p>
    <w:p>
      <w:pPr>
        <w:pStyle w:val="5"/>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2.合同签订安装验收合格后，甲方应在收到乙方开具的等额增值税发票后30 日内，向乙方支付NBL联赛（合肥赛区）2025-2026赛季期间租赁合同价的50%费用。</w:t>
      </w:r>
    </w:p>
    <w:p>
      <w:pPr>
        <w:pStyle w:val="5"/>
        <w:rPr>
          <w:rFonts w:hint="default"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w:t>
      </w:r>
      <w:r>
        <w:rPr>
          <w:rFonts w:hint="eastAsia" w:ascii="仿宋_GB2312" w:hAnsi="宋体" w:eastAsia="仿宋_GB2312" w:cs="宋体"/>
          <w:bCs/>
          <w:color w:val="000000"/>
          <w:sz w:val="32"/>
          <w:szCs w:val="32"/>
          <w:lang w:val="en-US" w:eastAsia="zh-CN"/>
        </w:rPr>
        <w:t>NBL联赛（合肥赛区）2025-2026赛季（含季后赛）结束后，甲方应在收到乙方开具的等额增值税发票后30 日内，向乙方支付NBL联赛（合肥赛区）2025-2026赛季期间租赁合同价剩余50%费用。</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kern w:val="2"/>
          <w:sz w:val="32"/>
          <w:szCs w:val="32"/>
          <w:lang w:val="en-US" w:eastAsia="zh-CN" w:bidi="ar-SA"/>
        </w:rPr>
        <w:t>4.</w:t>
      </w:r>
      <w:r>
        <w:rPr>
          <w:rFonts w:hint="eastAsia" w:ascii="仿宋_GB2312" w:hAnsi="宋体" w:eastAsia="仿宋_GB2312" w:cs="宋体"/>
          <w:bCs/>
          <w:color w:val="000000"/>
          <w:sz w:val="32"/>
          <w:szCs w:val="32"/>
          <w:lang w:val="en-US" w:eastAsia="zh-CN"/>
        </w:rPr>
        <w:t>NBL联赛及WCBA联赛（合肥赛区）撤转场实际费用按</w:t>
      </w:r>
      <w:bookmarkStart w:id="2" w:name="OLE_LINK3"/>
      <w:r>
        <w:rPr>
          <w:rFonts w:hint="eastAsia" w:ascii="仿宋_GB2312" w:hAnsi="宋体" w:eastAsia="仿宋_GB2312" w:cs="宋体"/>
          <w:bCs/>
          <w:color w:val="000000"/>
          <w:sz w:val="32"/>
          <w:szCs w:val="32"/>
          <w:lang w:val="en-US" w:eastAsia="zh-CN"/>
        </w:rPr>
        <w:t>每次单价×场次据实计算</w:t>
      </w:r>
      <w:bookmarkEnd w:id="2"/>
      <w:r>
        <w:rPr>
          <w:rFonts w:hint="eastAsia" w:ascii="仿宋_GB2312" w:hAnsi="宋体" w:eastAsia="仿宋_GB2312" w:cs="宋体"/>
          <w:bCs/>
          <w:color w:val="000000"/>
          <w:sz w:val="32"/>
          <w:szCs w:val="32"/>
          <w:lang w:val="en-US" w:eastAsia="zh-CN"/>
        </w:rPr>
        <w:t>。以上任一联赛（NBL联赛（合肥赛区）或WCBA联赛（合肥赛区））赛季结束，双方办理结算手续后，甲方应在收到乙方开具的等额增值税发票后30 日内，向乙方全额支付相应联赛撤转场费用。</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六、报价时间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2025年</w:t>
      </w:r>
      <w:r>
        <w:rPr>
          <w:rFonts w:hint="default" w:ascii="仿宋_GB2312" w:hAnsi="宋体" w:eastAsia="仿宋_GB2312" w:cs="宋体"/>
          <w:bCs/>
          <w:color w:val="000000"/>
          <w:sz w:val="32"/>
          <w:szCs w:val="32"/>
          <w:lang w:val="en-US" w:eastAsia="zh-CN"/>
        </w:rPr>
        <w:t>12</w:t>
      </w:r>
      <w:r>
        <w:rPr>
          <w:rFonts w:hint="eastAsia" w:ascii="仿宋_GB2312" w:hAnsi="宋体" w:eastAsia="仿宋_GB2312" w:cs="宋体"/>
          <w:bCs/>
          <w:color w:val="000000"/>
          <w:sz w:val="32"/>
          <w:szCs w:val="32"/>
          <w:lang w:val="en-US" w:eastAsia="zh-CN"/>
        </w:rPr>
        <w:t>月</w:t>
      </w:r>
      <w:r>
        <w:rPr>
          <w:rFonts w:hint="default" w:ascii="仿宋_GB2312" w:hAnsi="宋体" w:eastAsia="仿宋_GB2312" w:cs="宋体"/>
          <w:bCs/>
          <w:color w:val="000000"/>
          <w:sz w:val="32"/>
          <w:szCs w:val="32"/>
          <w:lang w:val="en-US" w:eastAsia="zh-CN"/>
        </w:rPr>
        <w:t>13</w:t>
      </w:r>
      <w:r>
        <w:rPr>
          <w:rFonts w:hint="eastAsia" w:ascii="仿宋_GB2312" w:hAnsi="宋体" w:eastAsia="仿宋_GB2312" w:cs="宋体"/>
          <w:bCs/>
          <w:color w:val="000000"/>
          <w:sz w:val="32"/>
          <w:szCs w:val="32"/>
          <w:lang w:val="en-US" w:eastAsia="zh-CN"/>
        </w:rPr>
        <w:t>日17：00前将报价单连同营业执照和相关业绩证明材料全部盖章后密封送至合肥体育产业投资有限公司综合管理部。未按要求盖章和密封的报价文件视为废标，无效报价。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、报价要求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3.报价单填写形式：需分别填写报价总表、WCBA分项报价单及NBL分项报价单，并以报价总表作为比价依据。</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pPr>
        <w:keepNext w:val="0"/>
        <w:keepLines w:val="0"/>
        <w:widowControl/>
        <w:suppressLineNumbers w:val="0"/>
        <w:ind w:firstLine="640" w:firstLineChars="200"/>
        <w:jc w:val="left"/>
      </w:pPr>
      <w:r>
        <w:rPr>
          <w:rFonts w:hint="eastAsia" w:ascii="仿宋_GB2312" w:hAnsi="宋体" w:eastAsia="仿宋_GB2312" w:cs="宋体"/>
          <w:bCs/>
          <w:color w:val="000000"/>
          <w:sz w:val="32"/>
          <w:szCs w:val="32"/>
          <w:lang w:val="en-US" w:eastAsia="zh-CN"/>
        </w:rPr>
        <w:t>现场查勘联系人：齐工13866763586</w:t>
      </w:r>
    </w:p>
    <w:p>
      <w:pPr>
        <w:widowControl/>
        <w:spacing w:line="360" w:lineRule="auto"/>
        <w:ind w:firstLine="640" w:firstLineChars="200"/>
        <w:jc w:val="left"/>
        <w:rPr>
          <w:rFonts w:ascii="宋体" w:hAnsi="宋体" w:cs="宋体"/>
          <w:color w:val="000000"/>
          <w:kern w:val="0"/>
          <w:sz w:val="24"/>
          <w:szCs w:val="24"/>
        </w:rPr>
      </w:pPr>
      <w:r>
        <w:rPr>
          <w:rFonts w:hint="eastAsia" w:ascii="仿宋_GB2312" w:hAnsi="宋体" w:eastAsia="仿宋_GB2312" w:cs="宋体"/>
          <w:bCs/>
          <w:color w:val="000000"/>
          <w:sz w:val="32"/>
          <w:szCs w:val="32"/>
          <w:lang w:val="en-US" w:eastAsia="zh-CN"/>
        </w:rPr>
        <w:t>（工作日周一至周五，上午08:30-12:00，下午2:00-5:30，节假日休息）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2025年12</w:t>
      </w:r>
      <w:r>
        <w:rPr>
          <w:rFonts w:hint="default" w:ascii="仿宋_GB2312" w:hAnsi="宋体" w:eastAsia="仿宋_GB2312" w:cs="宋体"/>
          <w:b w:val="0"/>
          <w:bCs/>
          <w:color w:val="000000"/>
          <w:sz w:val="32"/>
          <w:szCs w:val="32"/>
          <w:lang w:val="en-US" w:eastAsia="zh-CN"/>
        </w:rPr>
        <w:t>月10</w:t>
      </w:r>
      <w:r>
        <w:rPr>
          <w:rFonts w:hint="eastAsia" w:ascii="仿宋_GB2312" w:hAnsi="宋体" w:eastAsia="仿宋_GB2312" w:cs="宋体"/>
          <w:b w:val="0"/>
          <w:bCs/>
          <w:color w:val="000000"/>
          <w:sz w:val="32"/>
          <w:szCs w:val="32"/>
          <w:lang w:val="en-US" w:eastAsia="zh-CN"/>
        </w:rPr>
        <w:t>日</w:t>
      </w:r>
    </w:p>
    <w:p>
      <w:pPr>
        <w:spacing w:line="560" w:lineRule="exact"/>
        <w:ind w:firstLine="640" w:firstLineChars="200"/>
        <w:jc w:val="right"/>
        <w:rPr>
          <w:rFonts w:hint="eastAsia" w:ascii="仿宋_GB2312" w:hAnsi="宋体" w:eastAsia="仿宋_GB2312" w:cs="宋体"/>
          <w:b w:val="0"/>
          <w:bCs/>
          <w:color w:val="000000"/>
          <w:sz w:val="32"/>
          <w:szCs w:val="32"/>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jc w:val="center"/>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sz w:val="30"/>
          <w:szCs w:val="30"/>
          <w:lang w:val="en-US" w:eastAsia="zh-CN"/>
        </w:rPr>
        <w:t>2025-2026赛季WCBA及NBL赛事</w:t>
      </w:r>
      <w:r>
        <w:rPr>
          <w:rFonts w:hint="eastAsia" w:ascii="仿宋_GB2312" w:hAnsi="仿宋_GB2312" w:eastAsia="仿宋_GB2312" w:cs="仿宋_GB2312"/>
          <w:b/>
          <w:bCs/>
          <w:color w:val="000000"/>
          <w:sz w:val="30"/>
          <w:szCs w:val="30"/>
        </w:rPr>
        <w:t>场边LED广告屏租赁服务明细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301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jc w:val="center"/>
              <w:rPr>
                <w:rFonts w:hint="default"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sz w:val="30"/>
                <w:szCs w:val="30"/>
                <w:lang w:val="en-US" w:eastAsia="zh-CN"/>
              </w:rPr>
              <w:t>2025-2026赛季WCBA及NBL</w:t>
            </w:r>
            <w:r>
              <w:rPr>
                <w:rFonts w:hint="eastAsia" w:ascii="仿宋_GB2312" w:hAnsi="仿宋_GB2312" w:eastAsia="仿宋_GB2312" w:cs="仿宋_GB2312"/>
                <w:b/>
                <w:bCs/>
                <w:color w:val="000000"/>
                <w:sz w:val="30"/>
                <w:szCs w:val="30"/>
              </w:rPr>
              <w:t>场边LED广告屏租赁</w:t>
            </w:r>
            <w:r>
              <w:rPr>
                <w:rFonts w:hint="eastAsia" w:ascii="仿宋_GB2312" w:hAnsi="仿宋_GB2312" w:eastAsia="仿宋_GB2312" w:cs="仿宋_GB2312"/>
                <w:b/>
                <w:bCs/>
                <w:color w:val="000000"/>
                <w:sz w:val="30"/>
                <w:szCs w:val="30"/>
                <w:lang w:val="en-US" w:eastAsia="zh-CN"/>
              </w:rPr>
              <w:t>报价总表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pPr>
              <w:jc w:val="center"/>
              <w:rPr>
                <w:rFonts w:hint="default"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color w:val="000000"/>
                <w:sz w:val="30"/>
                <w:szCs w:val="30"/>
                <w:vertAlign w:val="baseline"/>
                <w:lang w:val="en-US" w:eastAsia="zh-CN"/>
              </w:rPr>
              <w:t>序号</w:t>
            </w:r>
          </w:p>
        </w:tc>
        <w:tc>
          <w:tcPr>
            <w:tcW w:w="3019" w:type="dxa"/>
          </w:tcPr>
          <w:p>
            <w:pPr>
              <w:jc w:val="center"/>
              <w:rPr>
                <w:rFonts w:hint="default"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color w:val="000000"/>
                <w:sz w:val="30"/>
                <w:szCs w:val="30"/>
                <w:vertAlign w:val="baseline"/>
                <w:lang w:val="en-US" w:eastAsia="zh-CN"/>
              </w:rPr>
              <w:t>名称</w:t>
            </w:r>
          </w:p>
        </w:tc>
        <w:tc>
          <w:tcPr>
            <w:tcW w:w="2131" w:type="dxa"/>
          </w:tcPr>
          <w:p>
            <w:pPr>
              <w:jc w:val="center"/>
              <w:rPr>
                <w:rFonts w:hint="default"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color w:val="000000"/>
                <w:sz w:val="30"/>
                <w:szCs w:val="30"/>
                <w:vertAlign w:val="baseline"/>
                <w:lang w:val="en-US" w:eastAsia="zh-CN"/>
              </w:rPr>
              <w:t>金额（元）</w:t>
            </w:r>
          </w:p>
        </w:tc>
        <w:tc>
          <w:tcPr>
            <w:tcW w:w="2131" w:type="dxa"/>
          </w:tcPr>
          <w:p>
            <w:pPr>
              <w:jc w:val="center"/>
              <w:rPr>
                <w:rFonts w:hint="default"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color w:val="000000"/>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pPr>
              <w:jc w:val="center"/>
              <w:rPr>
                <w:rFonts w:hint="default"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1</w:t>
            </w:r>
          </w:p>
        </w:tc>
        <w:tc>
          <w:tcPr>
            <w:tcW w:w="3019" w:type="dxa"/>
          </w:tcPr>
          <w:p>
            <w:pPr>
              <w:jc w:val="center"/>
              <w:rPr>
                <w:rFonts w:hint="default"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rPr>
              <w:t>WCBA分项报价表</w:t>
            </w:r>
          </w:p>
        </w:tc>
        <w:tc>
          <w:tcPr>
            <w:tcW w:w="2131" w:type="dxa"/>
          </w:tcPr>
          <w:p>
            <w:pPr>
              <w:jc w:val="center"/>
              <w:rPr>
                <w:rFonts w:hint="eastAsia" w:ascii="仿宋_GB2312" w:hAnsi="仿宋_GB2312" w:eastAsia="仿宋_GB2312" w:cs="仿宋_GB2312"/>
                <w:b w:val="0"/>
                <w:bCs w:val="0"/>
                <w:color w:val="000000"/>
                <w:sz w:val="28"/>
                <w:szCs w:val="28"/>
                <w:vertAlign w:val="baseline"/>
                <w:lang w:val="en-US" w:eastAsia="zh-CN"/>
              </w:rPr>
            </w:pPr>
          </w:p>
        </w:tc>
        <w:tc>
          <w:tcPr>
            <w:tcW w:w="2131" w:type="dxa"/>
          </w:tcPr>
          <w:p>
            <w:pPr>
              <w:jc w:val="center"/>
              <w:rPr>
                <w:rFonts w:hint="eastAsia" w:ascii="仿宋_GB2312" w:hAnsi="仿宋_GB2312" w:eastAsia="仿宋_GB2312" w:cs="仿宋_GB2312"/>
                <w:b w:val="0"/>
                <w:bCs w:val="0"/>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pPr>
              <w:jc w:val="center"/>
              <w:rPr>
                <w:rFonts w:hint="default"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2</w:t>
            </w:r>
          </w:p>
        </w:tc>
        <w:tc>
          <w:tcPr>
            <w:tcW w:w="3019" w:type="dxa"/>
          </w:tcPr>
          <w:p>
            <w:pPr>
              <w:jc w:val="center"/>
              <w:rPr>
                <w:rFonts w:hint="default"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NBL分项报价表</w:t>
            </w:r>
          </w:p>
        </w:tc>
        <w:tc>
          <w:tcPr>
            <w:tcW w:w="2131" w:type="dxa"/>
          </w:tcPr>
          <w:p>
            <w:pPr>
              <w:jc w:val="center"/>
              <w:rPr>
                <w:rFonts w:hint="eastAsia" w:ascii="仿宋_GB2312" w:hAnsi="仿宋_GB2312" w:eastAsia="仿宋_GB2312" w:cs="仿宋_GB2312"/>
                <w:b w:val="0"/>
                <w:bCs w:val="0"/>
                <w:color w:val="000000"/>
                <w:sz w:val="28"/>
                <w:szCs w:val="28"/>
                <w:vertAlign w:val="baseline"/>
                <w:lang w:val="en-US" w:eastAsia="zh-CN"/>
              </w:rPr>
            </w:pPr>
          </w:p>
        </w:tc>
        <w:tc>
          <w:tcPr>
            <w:tcW w:w="2131" w:type="dxa"/>
          </w:tcPr>
          <w:p>
            <w:pPr>
              <w:jc w:val="center"/>
              <w:rPr>
                <w:rFonts w:hint="eastAsia" w:ascii="仿宋_GB2312" w:hAnsi="仿宋_GB2312" w:eastAsia="仿宋_GB2312" w:cs="仿宋_GB2312"/>
                <w:b w:val="0"/>
                <w:bCs w:val="0"/>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tcPr>
          <w:p>
            <w:pPr>
              <w:jc w:val="center"/>
              <w:rPr>
                <w:rFonts w:hint="default"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3</w:t>
            </w:r>
          </w:p>
        </w:tc>
        <w:tc>
          <w:tcPr>
            <w:tcW w:w="3019" w:type="dxa"/>
          </w:tcPr>
          <w:p>
            <w:pPr>
              <w:jc w:val="center"/>
              <w:rPr>
                <w:rFonts w:hint="default"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汇总（元）</w:t>
            </w:r>
          </w:p>
        </w:tc>
        <w:tc>
          <w:tcPr>
            <w:tcW w:w="2131" w:type="dxa"/>
          </w:tcPr>
          <w:p>
            <w:pPr>
              <w:jc w:val="center"/>
              <w:rPr>
                <w:rFonts w:hint="eastAsia" w:ascii="仿宋_GB2312" w:hAnsi="仿宋_GB2312" w:eastAsia="仿宋_GB2312" w:cs="仿宋_GB2312"/>
                <w:b w:val="0"/>
                <w:bCs w:val="0"/>
                <w:color w:val="000000"/>
                <w:sz w:val="28"/>
                <w:szCs w:val="28"/>
                <w:vertAlign w:val="baseline"/>
                <w:lang w:val="en-US" w:eastAsia="zh-CN"/>
              </w:rPr>
            </w:pPr>
          </w:p>
        </w:tc>
        <w:tc>
          <w:tcPr>
            <w:tcW w:w="2131" w:type="dxa"/>
          </w:tcPr>
          <w:p>
            <w:pPr>
              <w:jc w:val="center"/>
              <w:rPr>
                <w:rFonts w:hint="eastAsia" w:ascii="仿宋_GB2312" w:hAnsi="仿宋_GB2312" w:eastAsia="仿宋_GB2312" w:cs="仿宋_GB2312"/>
                <w:b w:val="0"/>
                <w:bCs w:val="0"/>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jc w:val="both"/>
              <w:rPr>
                <w:rFonts w:hint="eastAsia"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增值税专用发票税率（   %）</w:t>
            </w:r>
          </w:p>
          <w:p>
            <w:pPr>
              <w:jc w:val="both"/>
              <w:rPr>
                <w:rFonts w:hint="eastAsia" w:ascii="仿宋_GB2312" w:hAnsi="仿宋_GB2312" w:eastAsia="仿宋_GB2312" w:cs="仿宋_GB2312"/>
                <w:b w:val="0"/>
                <w:bCs w:val="0"/>
                <w:color w:val="000000"/>
                <w:sz w:val="28"/>
                <w:szCs w:val="28"/>
                <w:vertAlign w:val="baseline"/>
                <w:lang w:val="en-US" w:eastAsia="zh-CN"/>
              </w:rPr>
            </w:pPr>
          </w:p>
          <w:p>
            <w:pPr>
              <w:jc w:val="both"/>
              <w:rPr>
                <w:rFonts w:hint="eastAsia"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报价单位：</w:t>
            </w:r>
          </w:p>
          <w:p>
            <w:pPr>
              <w:jc w:val="both"/>
              <w:rPr>
                <w:rFonts w:hint="default" w:ascii="仿宋_GB2312" w:hAnsi="仿宋_GB2312" w:eastAsia="仿宋_GB2312" w:cs="仿宋_GB2312"/>
                <w:b w:val="0"/>
                <w:bCs w:val="0"/>
                <w:color w:val="000000"/>
                <w:sz w:val="28"/>
                <w:szCs w:val="28"/>
                <w:vertAlign w:val="baseline"/>
                <w:lang w:val="en-US" w:eastAsia="zh-CN"/>
              </w:rPr>
            </w:pPr>
          </w:p>
        </w:tc>
      </w:tr>
    </w:tbl>
    <w:p>
      <w:pPr>
        <w:jc w:val="both"/>
        <w:rPr>
          <w:rFonts w:hint="eastAsia" w:ascii="仿宋_GB2312" w:hAnsi="仿宋_GB2312" w:eastAsia="仿宋_GB2312" w:cs="仿宋_GB2312"/>
          <w:b w:val="0"/>
          <w:bCs w:val="0"/>
          <w:color w:val="000000"/>
          <w:sz w:val="28"/>
          <w:szCs w:val="28"/>
          <w:vertAlign w:val="baseline"/>
          <w:lang w:val="en-US" w:eastAsia="zh-CN"/>
        </w:rPr>
      </w:pPr>
      <w:r>
        <w:rPr>
          <w:rFonts w:hint="eastAsia" w:ascii="仿宋_GB2312" w:hAnsi="仿宋_GB2312" w:eastAsia="仿宋_GB2312" w:cs="仿宋_GB2312"/>
          <w:b w:val="0"/>
          <w:bCs w:val="0"/>
          <w:color w:val="000000"/>
          <w:sz w:val="28"/>
          <w:szCs w:val="28"/>
          <w:vertAlign w:val="baseline"/>
          <w:lang w:val="en-US" w:eastAsia="zh-CN"/>
        </w:rPr>
        <w:t>备注：投标人在投标报价时需分别填写报价总表、WCBA分项报价单及NBL分项报价单，并以报价汇总表作为比价依据。</w:t>
      </w:r>
    </w:p>
    <w:p>
      <w:pPr>
        <w:jc w:val="both"/>
        <w:rPr>
          <w:rFonts w:hint="default" w:ascii="仿宋_GB2312" w:hAnsi="仿宋_GB2312" w:eastAsia="仿宋_GB2312" w:cs="仿宋_GB2312"/>
          <w:b/>
          <w:bCs/>
          <w:color w:val="000000"/>
          <w:sz w:val="30"/>
          <w:szCs w:val="30"/>
          <w:lang w:val="en-US" w:eastAsia="zh-CN"/>
        </w:rPr>
        <w:sectPr>
          <w:pgSz w:w="11906" w:h="16838"/>
          <w:pgMar w:top="1440" w:right="1800" w:bottom="1440" w:left="1800" w:header="851" w:footer="992" w:gutter="0"/>
          <w:cols w:space="425" w:num="1"/>
          <w:docGrid w:type="lines" w:linePitch="312" w:charSpace="0"/>
        </w:sectPr>
      </w:pPr>
    </w:p>
    <w:p>
      <w:pPr>
        <w:adjustRightInd w:val="0"/>
        <w:snapToGrid w:val="0"/>
        <w:ind w:firstLine="221" w:firstLineChars="50"/>
        <w:jc w:val="center"/>
        <w:rPr>
          <w:rFonts w:hint="eastAsia" w:eastAsia="黑体"/>
          <w:b/>
          <w:bCs/>
          <w:color w:val="000000"/>
          <w:sz w:val="44"/>
          <w:szCs w:val="44"/>
        </w:rPr>
      </w:pPr>
      <w:r>
        <w:rPr>
          <w:rFonts w:hint="eastAsia" w:ascii="仿宋_GB2312" w:hAnsi="仿宋_GB2312" w:eastAsia="仿宋_GB2312" w:cs="仿宋_GB2312"/>
          <w:b/>
          <w:bCs/>
          <w:sz w:val="44"/>
          <w:szCs w:val="44"/>
          <w:lang w:val="en-US" w:eastAsia="zh-CN"/>
        </w:rPr>
        <w:t>2025-2026赛季WCBA及NBL赛事</w:t>
      </w:r>
      <w:r>
        <w:rPr>
          <w:rFonts w:hint="eastAsia" w:ascii="仿宋_GB2312" w:hAnsi="仿宋_GB2312" w:eastAsia="仿宋_GB2312" w:cs="仿宋_GB2312"/>
          <w:b/>
          <w:bCs/>
          <w:color w:val="000000"/>
          <w:sz w:val="44"/>
          <w:szCs w:val="44"/>
        </w:rPr>
        <w:t>场边LED广告屏租赁服务明细</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3"/>
        <w:gridCol w:w="1453"/>
        <w:gridCol w:w="1419"/>
        <w:gridCol w:w="1888"/>
        <w:gridCol w:w="1988"/>
        <w:gridCol w:w="1449"/>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rPr>
              <w:t>2025-2026赛季WCBA合肥赛区赛事场边LED广告屏分项报价单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序号</w:t>
            </w:r>
          </w:p>
        </w:tc>
        <w:tc>
          <w:tcPr>
            <w:tcW w:w="6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名称</w:t>
            </w: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使用地点</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租赁需求</w:t>
            </w:r>
          </w:p>
        </w:tc>
        <w:tc>
          <w:tcPr>
            <w:tcW w:w="9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租赁期限</w:t>
            </w:r>
          </w:p>
        </w:tc>
        <w:tc>
          <w:tcPr>
            <w:tcW w:w="6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价格</w:t>
            </w:r>
          </w:p>
        </w:tc>
        <w:tc>
          <w:tcPr>
            <w:tcW w:w="9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A</w:t>
            </w:r>
          </w:p>
        </w:tc>
        <w:tc>
          <w:tcPr>
            <w:tcW w:w="66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WCBA联赛2025-2026赛季期间租赁费用</w:t>
            </w:r>
          </w:p>
        </w:tc>
        <w:tc>
          <w:tcPr>
            <w:tcW w:w="64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合肥体育中心体育馆</w:t>
            </w:r>
          </w:p>
        </w:tc>
        <w:tc>
          <w:tcPr>
            <w:tcW w:w="85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P6室内球场围栏LED广告屏：亮度800cd；                        0.96米x5.76米2套；0.96米x7.68米2套；0.96米x12.48米1套；包含防撞垫、背部支架、配重、主电缆。 其他：橡胶泡棉包边、85度斜角、后部遮挡处理、安全配重、箱体尺寸960mmX960mm。</w:t>
            </w:r>
          </w:p>
        </w:tc>
        <w:tc>
          <w:tcPr>
            <w:tcW w:w="9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2025-2026WCBA联赛赛程</w:t>
            </w:r>
          </w:p>
        </w:tc>
        <w:tc>
          <w:tcPr>
            <w:tcW w:w="65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single"/>
                <w:lang w:val="en-US"/>
              </w:rPr>
            </w:pPr>
            <w:r>
              <w:rPr>
                <w:rFonts w:hint="eastAsia" w:ascii="仿宋_GB2312" w:hAnsi="宋体" w:eastAsia="仿宋_GB2312" w:cs="仿宋_GB2312"/>
                <w:i w:val="0"/>
                <w:iCs w:val="0"/>
                <w:color w:val="000000"/>
                <w:kern w:val="0"/>
                <w:sz w:val="21"/>
                <w:szCs w:val="21"/>
                <w:u w:val="none"/>
                <w:lang w:val="en-US" w:eastAsia="zh-CN"/>
              </w:rPr>
              <w:t>该项租赁服务不在本次招标范围内，其租赁需求仅供内外部场地撤转场参考。</w:t>
            </w:r>
          </w:p>
        </w:tc>
        <w:tc>
          <w:tcPr>
            <w:tcW w:w="9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1.包含第一次进场搭建，运输，和赛季结束后的拆卸，运输；2.包括设备维护，远程技术支持；3.广告播放文件的排序及制作；4.赛场LED开关机，广告播放由俱乐部/赛区安排人员完成</w:t>
            </w:r>
          </w:p>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5.重要比赛、如首场比赛、决赛，安排技术人员到场提供服务支持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B</w:t>
            </w:r>
          </w:p>
        </w:tc>
        <w:tc>
          <w:tcPr>
            <w:tcW w:w="66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内部场地撤转场</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费用</w:t>
            </w:r>
          </w:p>
        </w:tc>
        <w:tc>
          <w:tcPr>
            <w:tcW w:w="64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合肥体育中心体育馆</w:t>
            </w:r>
          </w:p>
        </w:tc>
        <w:tc>
          <w:tcPr>
            <w:tcW w:w="85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如转场，一次拆卸加搭建   （</w:t>
            </w:r>
            <w:r>
              <w:rPr>
                <w:rFonts w:hint="eastAsia" w:ascii="仿宋_GB2312" w:hAnsi="宋体" w:eastAsia="仿宋_GB2312" w:cs="仿宋_GB2312"/>
                <w:i w:val="0"/>
                <w:iCs w:val="0"/>
                <w:color w:val="000000"/>
                <w:kern w:val="0"/>
                <w:sz w:val="21"/>
                <w:szCs w:val="21"/>
                <w:u w:val="single"/>
                <w:lang w:val="en-US" w:eastAsia="zh-CN"/>
              </w:rPr>
              <w:t xml:space="preserve">    </w:t>
            </w:r>
            <w:r>
              <w:rPr>
                <w:rFonts w:hint="eastAsia" w:ascii="仿宋_GB2312" w:hAnsi="宋体" w:eastAsia="仿宋_GB2312" w:cs="仿宋_GB2312"/>
                <w:i w:val="0"/>
                <w:iCs w:val="0"/>
                <w:color w:val="000000"/>
                <w:kern w:val="0"/>
                <w:sz w:val="21"/>
                <w:szCs w:val="21"/>
                <w:u w:val="none"/>
                <w:lang w:val="en-US" w:eastAsia="zh-CN"/>
              </w:rPr>
              <w:t>）元，（场馆内无需运输费）</w:t>
            </w:r>
          </w:p>
        </w:tc>
        <w:tc>
          <w:tcPr>
            <w:tcW w:w="9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暂定以5次转场拆搭计算，最终以实际发生情况为准</w:t>
            </w:r>
          </w:p>
        </w:tc>
        <w:tc>
          <w:tcPr>
            <w:tcW w:w="65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single"/>
                <w:lang w:val="en-US" w:eastAsia="zh-CN" w:bidi="ar-SA"/>
              </w:rPr>
            </w:pPr>
            <w:r>
              <w:rPr>
                <w:rStyle w:val="168"/>
                <w:rFonts w:hint="eastAsia" w:hAnsi="宋体"/>
                <w:sz w:val="21"/>
                <w:szCs w:val="21"/>
                <w:u w:val="single"/>
                <w:lang w:val="en-US" w:eastAsia="zh-CN"/>
              </w:rPr>
              <w:t xml:space="preserve">      </w:t>
            </w:r>
            <w:r>
              <w:rPr>
                <w:rStyle w:val="167"/>
                <w:rFonts w:hAnsi="宋体"/>
                <w:sz w:val="21"/>
                <w:szCs w:val="21"/>
                <w:u w:val="none"/>
                <w:lang w:val="en-US" w:eastAsia="zh-CN"/>
              </w:rPr>
              <w:t>元</w:t>
            </w:r>
          </w:p>
        </w:tc>
        <w:tc>
          <w:tcPr>
            <w:tcW w:w="9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Style w:val="167"/>
                <w:rFonts w:hAnsi="宋体"/>
                <w:sz w:val="21"/>
                <w:szCs w:val="21"/>
                <w:lang w:val="en-US" w:eastAsia="zh-CN"/>
              </w:rPr>
              <w:t>赛季期间俱乐部/赛区要求的临时拆卸和搭建。实际费用按每次单价</w:t>
            </w:r>
            <w:r>
              <w:rPr>
                <w:rStyle w:val="173"/>
                <w:rFonts w:eastAsia="仿宋_GB2312"/>
                <w:sz w:val="21"/>
                <w:szCs w:val="21"/>
                <w:lang w:val="en-US" w:eastAsia="zh-CN"/>
              </w:rPr>
              <w:t>×</w:t>
            </w:r>
            <w:r>
              <w:rPr>
                <w:rStyle w:val="167"/>
                <w:rFonts w:hAnsi="宋体"/>
                <w:sz w:val="21"/>
                <w:szCs w:val="21"/>
                <w:lang w:val="en-US" w:eastAsia="zh-CN"/>
              </w:rPr>
              <w:t>场次计算。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C</w:t>
            </w:r>
          </w:p>
        </w:tc>
        <w:tc>
          <w:tcPr>
            <w:tcW w:w="66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外部场地撤转场</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费用</w:t>
            </w:r>
          </w:p>
        </w:tc>
        <w:tc>
          <w:tcPr>
            <w:tcW w:w="64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合肥市中科大体育馆（暂定）</w:t>
            </w:r>
          </w:p>
        </w:tc>
        <w:tc>
          <w:tcPr>
            <w:tcW w:w="85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如转场，一次拆卸加搭建   （</w:t>
            </w:r>
            <w:r>
              <w:rPr>
                <w:rFonts w:hint="eastAsia" w:ascii="仿宋_GB2312" w:hAnsi="宋体" w:eastAsia="仿宋_GB2312" w:cs="仿宋_GB2312"/>
                <w:i w:val="0"/>
                <w:iCs w:val="0"/>
                <w:color w:val="000000"/>
                <w:kern w:val="0"/>
                <w:sz w:val="21"/>
                <w:szCs w:val="21"/>
                <w:u w:val="single"/>
                <w:lang w:val="en-US" w:eastAsia="zh-CN"/>
              </w:rPr>
              <w:t xml:space="preserve">    </w:t>
            </w:r>
            <w:r>
              <w:rPr>
                <w:rFonts w:hint="eastAsia" w:ascii="仿宋_GB2312" w:hAnsi="宋体" w:eastAsia="仿宋_GB2312" w:cs="仿宋_GB2312"/>
                <w:i w:val="0"/>
                <w:iCs w:val="0"/>
                <w:color w:val="000000"/>
                <w:kern w:val="0"/>
                <w:sz w:val="21"/>
                <w:szCs w:val="21"/>
                <w:u w:val="none"/>
                <w:lang w:val="en-US" w:eastAsia="zh-CN"/>
              </w:rPr>
              <w:t>）元，（含市内运输费）</w:t>
            </w:r>
          </w:p>
        </w:tc>
        <w:tc>
          <w:tcPr>
            <w:tcW w:w="9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暂定以5次转场拆搭计算，最终以实际发生情况为准</w:t>
            </w:r>
          </w:p>
        </w:tc>
        <w:tc>
          <w:tcPr>
            <w:tcW w:w="65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68"/>
                <w:rFonts w:hAnsi="宋体"/>
                <w:sz w:val="21"/>
                <w:szCs w:val="21"/>
                <w:u w:val="single"/>
                <w:lang w:val="en-US" w:eastAsia="zh-CN"/>
              </w:rPr>
            </w:pPr>
            <w:r>
              <w:rPr>
                <w:rStyle w:val="168"/>
                <w:rFonts w:hint="eastAsia" w:hAnsi="宋体"/>
                <w:sz w:val="21"/>
                <w:szCs w:val="21"/>
                <w:u w:val="single"/>
                <w:lang w:val="en-US" w:eastAsia="zh-CN"/>
              </w:rPr>
              <w:t xml:space="preserve">      </w:t>
            </w:r>
            <w:r>
              <w:rPr>
                <w:rStyle w:val="167"/>
                <w:rFonts w:hAnsi="宋体"/>
                <w:sz w:val="21"/>
                <w:szCs w:val="21"/>
                <w:u w:val="none"/>
                <w:lang w:val="en-US" w:eastAsia="zh-CN"/>
              </w:rPr>
              <w:t>元</w:t>
            </w:r>
          </w:p>
        </w:tc>
        <w:tc>
          <w:tcPr>
            <w:tcW w:w="9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67"/>
                <w:rFonts w:hAnsi="宋体"/>
                <w:sz w:val="21"/>
                <w:szCs w:val="21"/>
                <w:lang w:val="en-US" w:eastAsia="zh-CN"/>
              </w:rPr>
            </w:pPr>
            <w:r>
              <w:rPr>
                <w:rStyle w:val="167"/>
                <w:rFonts w:hAnsi="宋体"/>
                <w:sz w:val="21"/>
                <w:szCs w:val="21"/>
                <w:lang w:val="en-US" w:eastAsia="zh-CN"/>
              </w:rPr>
              <w:t>赛季期间俱乐部/赛区要求的临时拆卸和搭建。实际费用按每次单价</w:t>
            </w:r>
            <w:r>
              <w:rPr>
                <w:rStyle w:val="173"/>
                <w:rFonts w:eastAsia="仿宋_GB2312"/>
                <w:sz w:val="21"/>
                <w:szCs w:val="21"/>
                <w:lang w:val="en-US" w:eastAsia="zh-CN"/>
              </w:rPr>
              <w:t>×</w:t>
            </w:r>
            <w:r>
              <w:rPr>
                <w:rStyle w:val="167"/>
                <w:rFonts w:hAnsi="宋体"/>
                <w:sz w:val="21"/>
                <w:szCs w:val="21"/>
                <w:lang w:val="en-US" w:eastAsia="zh-CN"/>
              </w:rPr>
              <w:t>场次计算。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427"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rPr>
              <w:t>总计</w:t>
            </w:r>
          </w:p>
        </w:tc>
        <w:tc>
          <w:tcPr>
            <w:tcW w:w="6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single"/>
              </w:rPr>
            </w:pPr>
            <w:r>
              <w:rPr>
                <w:rStyle w:val="172"/>
                <w:rFonts w:hint="eastAsia" w:hAnsi="宋体"/>
                <w:sz w:val="21"/>
                <w:szCs w:val="21"/>
                <w:lang w:val="en-US" w:eastAsia="zh-CN"/>
              </w:rPr>
              <w:t xml:space="preserve">      </w:t>
            </w:r>
            <w:r>
              <w:rPr>
                <w:rStyle w:val="170"/>
                <w:rFonts w:hAnsi="宋体"/>
                <w:sz w:val="21"/>
                <w:szCs w:val="21"/>
                <w:u w:val="single"/>
                <w:lang w:val="en-US" w:eastAsia="zh-CN"/>
              </w:rPr>
              <w:t>元</w:t>
            </w:r>
          </w:p>
        </w:tc>
        <w:tc>
          <w:tcPr>
            <w:tcW w:w="9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lang w:val="en-US"/>
              </w:rPr>
            </w:pPr>
            <w:r>
              <w:rPr>
                <w:rFonts w:hint="eastAsia" w:ascii="仿宋_GB2312" w:hAnsi="宋体" w:eastAsia="仿宋_GB2312" w:cs="仿宋_GB2312"/>
                <w:b/>
                <w:bCs/>
                <w:i w:val="0"/>
                <w:iCs w:val="0"/>
                <w:color w:val="000000"/>
                <w:kern w:val="0"/>
                <w:sz w:val="21"/>
                <w:szCs w:val="21"/>
                <w:u w:val="none"/>
                <w:lang w:val="en-US" w:eastAsia="zh-CN"/>
              </w:rPr>
              <w:t>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5000" w:type="pct"/>
            <w:gridSpan w:val="7"/>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提示：</w:t>
            </w:r>
          </w:p>
          <w:p>
            <w:pPr>
              <w:keepNext w:val="0"/>
              <w:keepLines w:val="0"/>
              <w:widowControl/>
              <w:suppressLineNumbers w:val="0"/>
              <w:jc w:val="left"/>
              <w:textAlignment w:val="top"/>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1、请开具增值税专用发票，并标注开票税率（ ）%；</w:t>
            </w:r>
          </w:p>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2、服务需求：外部场地首场比赛安排技术人员驻场服务，租赁方确保提供的设备完整性、安全性、耐用性，不得出现黑屏、花屏、色彩失真及死灯等现象。</w:t>
            </w:r>
          </w:p>
          <w:p>
            <w:pPr>
              <w:keepNext w:val="0"/>
              <w:keepLines w:val="0"/>
              <w:widowControl/>
              <w:suppressLineNumbers w:val="0"/>
              <w:jc w:val="left"/>
              <w:textAlignment w:val="top"/>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设备出现故障时租赁方应在4小时内及时安排技术人员维修更换，设备租赁期间应配备齐全备品备件。租赁方确保提供的设备满足深蓝公司要求。</w:t>
            </w:r>
          </w:p>
        </w:tc>
      </w:tr>
    </w:tbl>
    <w:p>
      <w:pPr>
        <w:jc w:val="center"/>
      </w:pPr>
      <w:r>
        <w:drawing>
          <wp:inline distT="0" distB="0" distL="0" distR="0">
            <wp:extent cx="7492365" cy="4166235"/>
            <wp:effectExtent l="0" t="0" r="13334" b="5715"/>
            <wp:docPr id="1027" name="图片 1" descr="afe5ca1404aee578636916443db1396"/>
            <wp:cNvGraphicFramePr/>
            <a:graphic xmlns:a="http://schemas.openxmlformats.org/drawingml/2006/main">
              <a:graphicData uri="http://schemas.openxmlformats.org/drawingml/2006/picture">
                <pic:pic xmlns:pic="http://schemas.openxmlformats.org/drawingml/2006/picture">
                  <pic:nvPicPr>
                    <pic:cNvPr id="1027" name="图片 1" descr="afe5ca1404aee578636916443db1396"/>
                    <pic:cNvPicPr/>
                  </pic:nvPicPr>
                  <pic:blipFill>
                    <a:blip r:embed="rId4" cstate="print"/>
                    <a:srcRect/>
                    <a:stretch>
                      <a:fillRect/>
                    </a:stretch>
                  </pic:blipFill>
                  <pic:spPr>
                    <a:xfrm>
                      <a:off x="0" y="0"/>
                      <a:ext cx="7492365" cy="4166235"/>
                    </a:xfrm>
                    <a:prstGeom prst="rect">
                      <a:avLst/>
                    </a:prstGeom>
                    <a:ln>
                      <a:noFill/>
                    </a:ln>
                  </pic:spPr>
                </pic:pic>
              </a:graphicData>
            </a:graphic>
          </wp:inline>
        </w:drawing>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adjustRightInd w:val="0"/>
        <w:snapToGrid w:val="0"/>
        <w:ind w:firstLine="221" w:firstLineChars="50"/>
        <w:jc w:val="center"/>
        <w:rPr>
          <w:rFonts w:hint="eastAsia" w:eastAsia="黑体"/>
          <w:b/>
          <w:bCs/>
          <w:color w:val="000000"/>
          <w:sz w:val="44"/>
          <w:szCs w:val="44"/>
        </w:rPr>
      </w:pPr>
      <w:r>
        <w:rPr>
          <w:rFonts w:hint="eastAsia" w:ascii="仿宋_GB2312" w:hAnsi="仿宋_GB2312" w:eastAsia="仿宋_GB2312" w:cs="仿宋_GB2312"/>
          <w:b/>
          <w:bCs/>
          <w:sz w:val="44"/>
          <w:szCs w:val="44"/>
          <w:lang w:val="en-US" w:eastAsia="zh-CN"/>
        </w:rPr>
        <w:t>2025-2026赛季WCBA及NBL赛事</w:t>
      </w:r>
      <w:r>
        <w:rPr>
          <w:rFonts w:hint="eastAsia" w:ascii="仿宋_GB2312" w:hAnsi="仿宋_GB2312" w:eastAsia="仿宋_GB2312" w:cs="仿宋_GB2312"/>
          <w:b/>
          <w:bCs/>
          <w:color w:val="000000"/>
          <w:sz w:val="44"/>
          <w:szCs w:val="44"/>
        </w:rPr>
        <w:t>场边LED广告屏租赁服务明细</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3"/>
        <w:gridCol w:w="1453"/>
        <w:gridCol w:w="1419"/>
        <w:gridCol w:w="1888"/>
        <w:gridCol w:w="1988"/>
        <w:gridCol w:w="1449"/>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rPr>
              <w:t>2025-2026赛季NBL合肥赛区赛事场边LED广告屏分项报价单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序号</w:t>
            </w:r>
          </w:p>
        </w:tc>
        <w:tc>
          <w:tcPr>
            <w:tcW w:w="6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名称</w:t>
            </w:r>
          </w:p>
        </w:tc>
        <w:tc>
          <w:tcPr>
            <w:tcW w:w="6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使用地点</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租赁需求</w:t>
            </w:r>
          </w:p>
        </w:tc>
        <w:tc>
          <w:tcPr>
            <w:tcW w:w="9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租赁期限</w:t>
            </w:r>
          </w:p>
        </w:tc>
        <w:tc>
          <w:tcPr>
            <w:tcW w:w="6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价格</w:t>
            </w:r>
          </w:p>
        </w:tc>
        <w:tc>
          <w:tcPr>
            <w:tcW w:w="9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A</w:t>
            </w:r>
          </w:p>
        </w:tc>
        <w:tc>
          <w:tcPr>
            <w:tcW w:w="66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NBL联赛2025-2026赛季期间租赁费用</w:t>
            </w:r>
          </w:p>
        </w:tc>
        <w:tc>
          <w:tcPr>
            <w:tcW w:w="64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合肥体育中心体育馆</w:t>
            </w:r>
          </w:p>
        </w:tc>
        <w:tc>
          <w:tcPr>
            <w:tcW w:w="85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P6室内球场围栏LED广告屏：亮度800cd；                        0.96米x5.76米2套；0.96米x7.68米2套；0.96米x12.48米1套；包含防撞垫、背部支架、配重、主电缆。 其他：橡胶泡棉包边、85度斜角、后部遮挡处理、安全配重、箱体尺寸960mmX960mm。</w:t>
            </w:r>
          </w:p>
        </w:tc>
        <w:tc>
          <w:tcPr>
            <w:tcW w:w="9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2025-2026NBL联赛赛程</w:t>
            </w:r>
          </w:p>
        </w:tc>
        <w:tc>
          <w:tcPr>
            <w:tcW w:w="65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single"/>
                <w:lang w:val="en-US"/>
              </w:rPr>
            </w:pPr>
            <w:r>
              <w:rPr>
                <w:rStyle w:val="168"/>
                <w:rFonts w:hint="eastAsia" w:hAnsi="宋体"/>
                <w:sz w:val="21"/>
                <w:szCs w:val="21"/>
                <w:u w:val="single"/>
                <w:lang w:val="en-US" w:eastAsia="zh-CN"/>
              </w:rPr>
              <w:t xml:space="preserve">      </w:t>
            </w:r>
            <w:r>
              <w:rPr>
                <w:rStyle w:val="168"/>
                <w:rFonts w:hint="eastAsia" w:hAnsi="宋体"/>
                <w:sz w:val="21"/>
                <w:szCs w:val="21"/>
                <w:u w:val="none"/>
                <w:lang w:val="en-US" w:eastAsia="zh-CN"/>
              </w:rPr>
              <w:t>元</w:t>
            </w:r>
          </w:p>
        </w:tc>
        <w:tc>
          <w:tcPr>
            <w:tcW w:w="9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1.包含第一次进场搭建，运输，和赛季结束后的拆卸，运输；2.包括设备维护，远程技术支持；3.广告播放文件的排序及制作；4.赛场LED开关机，广告播放由俱乐部/赛区安排人员完成</w:t>
            </w:r>
          </w:p>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5.重要比赛、如首场比赛、决赛，安排技术人员到场提供服务支持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rPr>
              <w:t>B</w:t>
            </w:r>
          </w:p>
        </w:tc>
        <w:tc>
          <w:tcPr>
            <w:tcW w:w="66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内部场地撤转场</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费用</w:t>
            </w:r>
          </w:p>
        </w:tc>
        <w:tc>
          <w:tcPr>
            <w:tcW w:w="64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合肥体育中心体育馆</w:t>
            </w:r>
          </w:p>
        </w:tc>
        <w:tc>
          <w:tcPr>
            <w:tcW w:w="85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如转场，一次拆卸加搭建   （</w:t>
            </w:r>
            <w:r>
              <w:rPr>
                <w:rFonts w:hint="eastAsia" w:ascii="仿宋_GB2312" w:hAnsi="宋体" w:eastAsia="仿宋_GB2312" w:cs="仿宋_GB2312"/>
                <w:i w:val="0"/>
                <w:iCs w:val="0"/>
                <w:color w:val="000000"/>
                <w:kern w:val="0"/>
                <w:sz w:val="21"/>
                <w:szCs w:val="21"/>
                <w:u w:val="single"/>
                <w:lang w:val="en-US" w:eastAsia="zh-CN"/>
              </w:rPr>
              <w:t xml:space="preserve">     </w:t>
            </w:r>
            <w:r>
              <w:rPr>
                <w:rFonts w:hint="eastAsia" w:ascii="仿宋_GB2312" w:hAnsi="宋体" w:eastAsia="仿宋_GB2312" w:cs="仿宋_GB2312"/>
                <w:i w:val="0"/>
                <w:iCs w:val="0"/>
                <w:color w:val="000000"/>
                <w:kern w:val="0"/>
                <w:sz w:val="21"/>
                <w:szCs w:val="21"/>
                <w:u w:val="none"/>
                <w:lang w:val="en-US" w:eastAsia="zh-CN"/>
              </w:rPr>
              <w:t>）元，（场馆内无需运输费）</w:t>
            </w:r>
          </w:p>
        </w:tc>
        <w:tc>
          <w:tcPr>
            <w:tcW w:w="9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rPr>
              <w:t>暂定以5次转场拆搭计算，最终以实际发生情况为准</w:t>
            </w:r>
          </w:p>
        </w:tc>
        <w:tc>
          <w:tcPr>
            <w:tcW w:w="65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single"/>
                <w:lang w:val="en-US" w:eastAsia="zh-CN" w:bidi="ar-SA"/>
              </w:rPr>
            </w:pPr>
            <w:r>
              <w:rPr>
                <w:rStyle w:val="168"/>
                <w:rFonts w:hint="eastAsia" w:hAnsi="宋体"/>
                <w:sz w:val="21"/>
                <w:szCs w:val="21"/>
                <w:u w:val="single"/>
                <w:lang w:val="en-US" w:eastAsia="zh-CN"/>
              </w:rPr>
              <w:t xml:space="preserve">      </w:t>
            </w:r>
            <w:r>
              <w:rPr>
                <w:rStyle w:val="167"/>
                <w:rFonts w:hAnsi="宋体"/>
                <w:sz w:val="21"/>
                <w:szCs w:val="21"/>
                <w:u w:val="none"/>
                <w:lang w:val="en-US" w:eastAsia="zh-CN"/>
              </w:rPr>
              <w:t>元</w:t>
            </w:r>
          </w:p>
        </w:tc>
        <w:tc>
          <w:tcPr>
            <w:tcW w:w="9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Style w:val="167"/>
                <w:rFonts w:hAnsi="宋体"/>
                <w:sz w:val="21"/>
                <w:szCs w:val="21"/>
                <w:lang w:val="en-US" w:eastAsia="zh-CN"/>
              </w:rPr>
              <w:t>赛季期间俱乐部/赛区要求的临时拆卸和搭建。实际费用按每次单价</w:t>
            </w:r>
            <w:r>
              <w:rPr>
                <w:rStyle w:val="173"/>
                <w:rFonts w:eastAsia="仿宋_GB2312"/>
                <w:sz w:val="21"/>
                <w:szCs w:val="21"/>
                <w:lang w:val="en-US" w:eastAsia="zh-CN"/>
              </w:rPr>
              <w:t>×</w:t>
            </w:r>
            <w:r>
              <w:rPr>
                <w:rStyle w:val="167"/>
                <w:rFonts w:hAnsi="宋体"/>
                <w:sz w:val="21"/>
                <w:szCs w:val="21"/>
                <w:lang w:val="en-US" w:eastAsia="zh-CN"/>
              </w:rPr>
              <w:t>场次计算。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3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C</w:t>
            </w:r>
          </w:p>
        </w:tc>
        <w:tc>
          <w:tcPr>
            <w:tcW w:w="661"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外部场地撤转场</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费用</w:t>
            </w:r>
          </w:p>
        </w:tc>
        <w:tc>
          <w:tcPr>
            <w:tcW w:w="64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合肥市内（暂定）</w:t>
            </w:r>
          </w:p>
        </w:tc>
        <w:tc>
          <w:tcPr>
            <w:tcW w:w="85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如转场，一次拆卸加搭建   （</w:t>
            </w:r>
            <w:r>
              <w:rPr>
                <w:rFonts w:hint="eastAsia" w:ascii="仿宋_GB2312" w:hAnsi="宋体" w:eastAsia="仿宋_GB2312" w:cs="仿宋_GB2312"/>
                <w:i w:val="0"/>
                <w:iCs w:val="0"/>
                <w:color w:val="000000"/>
                <w:kern w:val="0"/>
                <w:sz w:val="21"/>
                <w:szCs w:val="21"/>
                <w:u w:val="single"/>
                <w:lang w:val="en-US" w:eastAsia="zh-CN"/>
              </w:rPr>
              <w:t xml:space="preserve">     </w:t>
            </w:r>
            <w:r>
              <w:rPr>
                <w:rFonts w:hint="eastAsia" w:ascii="仿宋_GB2312" w:hAnsi="宋体" w:eastAsia="仿宋_GB2312" w:cs="仿宋_GB2312"/>
                <w:i w:val="0"/>
                <w:iCs w:val="0"/>
                <w:color w:val="000000"/>
                <w:kern w:val="0"/>
                <w:sz w:val="21"/>
                <w:szCs w:val="21"/>
                <w:u w:val="none"/>
                <w:lang w:val="en-US" w:eastAsia="zh-CN"/>
              </w:rPr>
              <w:t>）元，（含市内运输费）</w:t>
            </w:r>
          </w:p>
        </w:tc>
        <w:tc>
          <w:tcPr>
            <w:tcW w:w="90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暂定以5次转场拆搭计算，最终以实际发生情况为准</w:t>
            </w:r>
          </w:p>
        </w:tc>
        <w:tc>
          <w:tcPr>
            <w:tcW w:w="65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68"/>
                <w:rFonts w:hAnsi="宋体"/>
                <w:sz w:val="21"/>
                <w:szCs w:val="21"/>
                <w:u w:val="single"/>
                <w:lang w:val="en-US" w:eastAsia="zh-CN"/>
              </w:rPr>
            </w:pPr>
            <w:r>
              <w:rPr>
                <w:rStyle w:val="168"/>
                <w:rFonts w:hint="eastAsia" w:hAnsi="宋体"/>
                <w:sz w:val="21"/>
                <w:szCs w:val="21"/>
                <w:u w:val="single"/>
                <w:lang w:val="en-US" w:eastAsia="zh-CN"/>
              </w:rPr>
              <w:t xml:space="preserve">      </w:t>
            </w:r>
            <w:r>
              <w:rPr>
                <w:rStyle w:val="167"/>
                <w:rFonts w:hAnsi="宋体"/>
                <w:sz w:val="21"/>
                <w:szCs w:val="21"/>
                <w:u w:val="none"/>
                <w:lang w:val="en-US" w:eastAsia="zh-CN"/>
              </w:rPr>
              <w:t>元</w:t>
            </w:r>
          </w:p>
        </w:tc>
        <w:tc>
          <w:tcPr>
            <w:tcW w:w="91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67"/>
                <w:rFonts w:hAnsi="宋体"/>
                <w:sz w:val="21"/>
                <w:szCs w:val="21"/>
                <w:lang w:val="en-US" w:eastAsia="zh-CN"/>
              </w:rPr>
            </w:pPr>
            <w:r>
              <w:rPr>
                <w:rStyle w:val="167"/>
                <w:rFonts w:hAnsi="宋体"/>
                <w:sz w:val="21"/>
                <w:szCs w:val="21"/>
                <w:lang w:val="en-US" w:eastAsia="zh-CN"/>
              </w:rPr>
              <w:t>赛季期间俱乐部/赛区要求的临时拆卸和搭建。实际费用按每次单价</w:t>
            </w:r>
            <w:r>
              <w:rPr>
                <w:rStyle w:val="173"/>
                <w:rFonts w:eastAsia="仿宋_GB2312"/>
                <w:sz w:val="21"/>
                <w:szCs w:val="21"/>
                <w:lang w:val="en-US" w:eastAsia="zh-CN"/>
              </w:rPr>
              <w:t>×</w:t>
            </w:r>
            <w:r>
              <w:rPr>
                <w:rStyle w:val="167"/>
                <w:rFonts w:hAnsi="宋体"/>
                <w:sz w:val="21"/>
                <w:szCs w:val="21"/>
                <w:lang w:val="en-US" w:eastAsia="zh-CN"/>
              </w:rPr>
              <w:t>场次计算。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427"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rPr>
              <w:t>总计</w:t>
            </w:r>
          </w:p>
        </w:tc>
        <w:tc>
          <w:tcPr>
            <w:tcW w:w="6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single"/>
              </w:rPr>
            </w:pPr>
            <w:r>
              <w:rPr>
                <w:rStyle w:val="172"/>
                <w:rFonts w:hint="eastAsia" w:hAnsi="宋体"/>
                <w:sz w:val="21"/>
                <w:szCs w:val="21"/>
                <w:lang w:val="en-US" w:eastAsia="zh-CN"/>
              </w:rPr>
              <w:t xml:space="preserve">       </w:t>
            </w:r>
            <w:r>
              <w:rPr>
                <w:rStyle w:val="170"/>
                <w:rFonts w:hAnsi="宋体"/>
                <w:sz w:val="21"/>
                <w:szCs w:val="21"/>
                <w:u w:val="none"/>
                <w:lang w:val="en-US" w:eastAsia="zh-CN"/>
              </w:rPr>
              <w:t>元</w:t>
            </w:r>
          </w:p>
        </w:tc>
        <w:tc>
          <w:tcPr>
            <w:tcW w:w="9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rPr>
              <w:t>A+B+C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5000" w:type="pct"/>
            <w:gridSpan w:val="7"/>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提示：</w:t>
            </w:r>
          </w:p>
          <w:p>
            <w:pPr>
              <w:keepNext w:val="0"/>
              <w:keepLines w:val="0"/>
              <w:widowControl/>
              <w:suppressLineNumbers w:val="0"/>
              <w:jc w:val="left"/>
              <w:textAlignment w:val="top"/>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1、请开具增值税专用发票，并标注开票税率（ ）%；</w:t>
            </w:r>
          </w:p>
          <w:p>
            <w:pPr>
              <w:keepNext w:val="0"/>
              <w:keepLines w:val="0"/>
              <w:widowControl/>
              <w:suppressLineNumbers w:val="0"/>
              <w:jc w:val="left"/>
              <w:textAlignment w:val="top"/>
              <w:rPr>
                <w:rFonts w:hint="eastAsia" w:ascii="仿宋_GB2312" w:hAnsi="宋体" w:eastAsia="仿宋_GB2312" w:cs="仿宋_GB2312"/>
                <w:i w:val="0"/>
                <w:iCs w:val="0"/>
                <w:color w:val="000000"/>
                <w:kern w:val="0"/>
                <w:sz w:val="21"/>
                <w:szCs w:val="21"/>
                <w:u w:val="none"/>
                <w:lang w:val="en-US" w:eastAsia="zh-CN"/>
              </w:rPr>
            </w:pPr>
            <w:r>
              <w:rPr>
                <w:rFonts w:hint="eastAsia" w:ascii="仿宋_GB2312" w:hAnsi="宋体" w:eastAsia="仿宋_GB2312" w:cs="仿宋_GB2312"/>
                <w:i w:val="0"/>
                <w:iCs w:val="0"/>
                <w:color w:val="000000"/>
                <w:kern w:val="0"/>
                <w:sz w:val="21"/>
                <w:szCs w:val="21"/>
                <w:u w:val="none"/>
                <w:lang w:val="en-US" w:eastAsia="zh-CN"/>
              </w:rPr>
              <w:t xml:space="preserve">2、报价包含首次安装、施工、调试、赛季比赛结束设备拆卸、辅材、屏幕维护和保养等费用；  </w:t>
            </w:r>
          </w:p>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3、服务需求：外部场地首场比赛安排技术人员驻场服务，租赁方确保提供的设备完整性、安全性、耐用性，不得出现黑屏、花屏、色彩失真及死灯等现象。</w:t>
            </w:r>
          </w:p>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设备出现故障时租赁方应在4小时内及时安排技术人员维修更换，设备租赁期间应配备齐全备品备件。租赁方确保提供的设备满足深蓝公司要求。</w:t>
            </w:r>
          </w:p>
        </w:tc>
      </w:tr>
    </w:tbl>
    <w:p>
      <w:pPr>
        <w:jc w:val="center"/>
        <w:rPr>
          <w:rFonts w:hint="eastAsia"/>
          <w:lang w:val="en-US" w:eastAsia="zh-CN"/>
        </w:rPr>
      </w:pPr>
      <w:r>
        <w:drawing>
          <wp:inline distT="0" distB="0" distL="0" distR="0">
            <wp:extent cx="7492365" cy="4166235"/>
            <wp:effectExtent l="0" t="0" r="13334" b="5715"/>
            <wp:docPr id="1028" name="图片 2" descr="afe5ca1404aee578636916443db1396"/>
            <wp:cNvGraphicFramePr/>
            <a:graphic xmlns:a="http://schemas.openxmlformats.org/drawingml/2006/main">
              <a:graphicData uri="http://schemas.openxmlformats.org/drawingml/2006/picture">
                <pic:pic xmlns:pic="http://schemas.openxmlformats.org/drawingml/2006/picture">
                  <pic:nvPicPr>
                    <pic:cNvPr id="1028" name="图片 2" descr="afe5ca1404aee578636916443db1396"/>
                    <pic:cNvPicPr/>
                  </pic:nvPicPr>
                  <pic:blipFill>
                    <a:blip r:embed="rId4" cstate="print"/>
                    <a:srcRect/>
                    <a:stretch>
                      <a:fillRect/>
                    </a:stretch>
                  </pic:blipFill>
                  <pic:spPr>
                    <a:xfrm>
                      <a:off x="0" y="0"/>
                      <a:ext cx="7492365" cy="4166235"/>
                    </a:xfrm>
                    <a:prstGeom prst="rect">
                      <a:avLst/>
                    </a:prstGeom>
                    <a:ln>
                      <a:noFill/>
                    </a:ln>
                  </pic:spPr>
                </pic:pic>
              </a:graphicData>
            </a:graphic>
          </wp:inline>
        </w:drawing>
      </w:r>
    </w:p>
    <w:p>
      <w:pPr>
        <w:rPr>
          <w:rFonts w:hint="default"/>
          <w:lang w:val="en-US" w:eastAsia="zh-CN"/>
        </w:rPr>
      </w:pPr>
    </w:p>
    <w:p>
      <w:pPr>
        <w:pStyle w:val="3"/>
        <w:rPr>
          <w:rFonts w:hint="default"/>
          <w:lang w:val="en-US" w:eastAsia="zh-CN"/>
        </w:rPr>
      </w:pPr>
    </w:p>
    <w:bookmarkEnd w:id="0"/>
    <w:p>
      <w:pPr>
        <w:rPr>
          <w:rFonts w:hint="default"/>
          <w:lang w:val="en-US" w:eastAsia="zh-CN"/>
        </w:rPr>
      </w:pPr>
    </w:p>
    <w:sectPr>
      <w:pgSz w:w="11906" w:h="16838"/>
      <w:pgMar w:top="1440" w:right="567" w:bottom="144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YzQ1N2YzNjAzMDMxYjBkMzlmNzU5NzhhODY1MGEifQ=="/>
  </w:docVars>
  <w:rsids>
    <w:rsidRoot w:val="00000000"/>
    <w:rsid w:val="6BD25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152"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qFormat/>
    <w:uiPriority w:val="0"/>
    <w:pPr>
      <w:keepNext/>
      <w:keepLines/>
      <w:spacing w:before="260" w:after="260" w:line="413" w:lineRule="auto"/>
      <w:jc w:val="center"/>
      <w:outlineLvl w:val="1"/>
    </w:pPr>
    <w:rPr>
      <w:rFonts w:hint="default" w:ascii="Arial" w:hAnsi="Arial" w:eastAsia="宋体"/>
      <w:sz w:val="32"/>
      <w:szCs w:val="20"/>
    </w:rPr>
  </w:style>
  <w:style w:type="paragraph" w:styleId="3">
    <w:name w:val="heading 3"/>
    <w:basedOn w:val="4"/>
    <w:next w:val="1"/>
    <w:qFormat/>
    <w:uiPriority w:val="0"/>
    <w:pPr>
      <w:keepNext/>
      <w:keepLines/>
      <w:spacing w:before="260" w:after="260" w:line="416" w:lineRule="auto"/>
      <w:outlineLvl w:val="2"/>
    </w:pPr>
    <w:rPr>
      <w:b/>
      <w:bCs/>
      <w:sz w:val="32"/>
      <w:szCs w:val="32"/>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sz w:val="24"/>
    </w:rPr>
  </w:style>
  <w:style w:type="paragraph" w:styleId="5">
    <w:name w:val="Normal Indent"/>
    <w:basedOn w:val="1"/>
    <w:next w:val="1"/>
    <w:qFormat/>
    <w:uiPriority w:val="99"/>
    <w:pPr>
      <w:ind w:firstLine="420" w:firstLineChars="200"/>
    </w:pPr>
  </w:style>
  <w:style w:type="paragraph" w:styleId="6">
    <w:name w:val="annotation text"/>
    <w:basedOn w:val="1"/>
    <w:qFormat/>
    <w:uiPriority w:val="0"/>
    <w:pPr>
      <w:jc w:val="left"/>
    </w:pPr>
  </w:style>
  <w:style w:type="paragraph" w:styleId="7">
    <w:name w:val="Body Text Indent"/>
    <w:basedOn w:val="1"/>
    <w:next w:val="8"/>
    <w:qFormat/>
    <w:uiPriority w:val="99"/>
    <w:pPr>
      <w:spacing w:after="120"/>
      <w:ind w:left="420" w:leftChars="200"/>
    </w:pPr>
  </w:style>
  <w:style w:type="paragraph" w:styleId="8">
    <w:name w:val="envelope return"/>
    <w:basedOn w:val="1"/>
    <w:qFormat/>
    <w:uiPriority w:val="99"/>
    <w:pPr>
      <w:snapToGrid w:val="0"/>
    </w:pPr>
    <w:rPr>
      <w:rFonts w:ascii="Arial" w:hAnsi="Arial"/>
    </w:rPr>
  </w:style>
  <w:style w:type="paragraph" w:styleId="9">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0">
    <w:name w:val="Normal (Web)"/>
    <w:basedOn w:val="1"/>
    <w:qFormat/>
    <w:uiPriority w:val="99"/>
    <w:pPr>
      <w:spacing w:before="0" w:beforeAutospacing="1" w:after="0" w:afterAutospacing="1"/>
      <w:ind w:left="0" w:right="0"/>
      <w:jc w:val="left"/>
    </w:pPr>
    <w:rPr>
      <w:kern w:val="0"/>
      <w:sz w:val="24"/>
      <w:lang w:val="en-US" w:eastAsia="zh-CN"/>
    </w:rPr>
  </w:style>
  <w:style w:type="paragraph" w:styleId="11">
    <w:name w:val="Body Text First Indent 2"/>
    <w:basedOn w:val="7"/>
    <w:qFormat/>
    <w:uiPriority w:val="99"/>
    <w:pPr>
      <w:ind w:firstLine="420" w:firstLineChars="200"/>
    </w:pPr>
    <w:rPr>
      <w:rFonts w:ascii="Times New Roman" w:eastAsia="宋体"/>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qFormat/>
    <w:uiPriority w:val="99"/>
    <w:rPr>
      <w:color w:val="666666"/>
      <w:u w:val="none"/>
    </w:rPr>
  </w:style>
  <w:style w:type="character" w:styleId="17">
    <w:name w:val="Emphasis"/>
    <w:basedOn w:val="14"/>
    <w:qFormat/>
    <w:uiPriority w:val="20"/>
  </w:style>
  <w:style w:type="character" w:styleId="18">
    <w:name w:val="HTML Definition"/>
    <w:basedOn w:val="14"/>
    <w:qFormat/>
    <w:uiPriority w:val="99"/>
    <w:rPr>
      <w:i/>
      <w:iCs/>
    </w:rPr>
  </w:style>
  <w:style w:type="character" w:styleId="19">
    <w:name w:val="Hyperlink"/>
    <w:basedOn w:val="14"/>
    <w:qFormat/>
    <w:uiPriority w:val="99"/>
    <w:rPr>
      <w:color w:val="666666"/>
      <w:u w:val="none"/>
    </w:rPr>
  </w:style>
  <w:style w:type="character" w:styleId="20">
    <w:name w:val="HTML Code"/>
    <w:basedOn w:val="14"/>
    <w:qFormat/>
    <w:uiPriority w:val="99"/>
    <w:rPr>
      <w:rFonts w:hint="default" w:ascii="Consolas" w:hAnsi="Consolas" w:eastAsia="Consolas" w:cs="Consolas"/>
      <w:color w:val="C7254E"/>
      <w:sz w:val="21"/>
      <w:szCs w:val="21"/>
      <w:shd w:val="clear" w:color="auto" w:fill="F9F2F4"/>
    </w:rPr>
  </w:style>
  <w:style w:type="character" w:styleId="21">
    <w:name w:val="HTML Cite"/>
    <w:basedOn w:val="14"/>
    <w:qFormat/>
    <w:uiPriority w:val="99"/>
  </w:style>
  <w:style w:type="character" w:styleId="22">
    <w:name w:val="HTML Keyboard"/>
    <w:basedOn w:val="14"/>
    <w:qFormat/>
    <w:uiPriority w:val="99"/>
    <w:rPr>
      <w:rFonts w:hint="default" w:ascii="Consolas" w:hAnsi="Consolas" w:eastAsia="Consolas" w:cs="Consolas"/>
      <w:color w:val="FFFFFF"/>
      <w:sz w:val="21"/>
      <w:szCs w:val="21"/>
      <w:shd w:val="clear" w:color="auto" w:fill="333333"/>
    </w:rPr>
  </w:style>
  <w:style w:type="character" w:styleId="23">
    <w:name w:val="HTML Sample"/>
    <w:basedOn w:val="14"/>
    <w:qFormat/>
    <w:uiPriority w:val="99"/>
    <w:rPr>
      <w:rFonts w:ascii="Consolas" w:hAnsi="Consolas" w:eastAsia="Consolas" w:cs="Consolas"/>
      <w:sz w:val="21"/>
      <w:szCs w:val="21"/>
    </w:rPr>
  </w:style>
  <w:style w:type="paragraph" w:customStyle="1" w:styleId="2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5">
    <w:name w:val="newpure-pink"/>
    <w:basedOn w:val="14"/>
    <w:qFormat/>
    <w:uiPriority w:val="0"/>
  </w:style>
  <w:style w:type="character" w:customStyle="1" w:styleId="26">
    <w:name w:val="default-skyblue"/>
    <w:basedOn w:val="14"/>
    <w:qFormat/>
    <w:uiPriority w:val="0"/>
  </w:style>
  <w:style w:type="character" w:customStyle="1" w:styleId="27">
    <w:name w:val="newpure-maroon"/>
    <w:basedOn w:val="14"/>
    <w:qFormat/>
    <w:uiPriority w:val="0"/>
  </w:style>
  <w:style w:type="character" w:customStyle="1" w:styleId="28">
    <w:name w:val="grey"/>
    <w:basedOn w:val="14"/>
    <w:qFormat/>
    <w:uiPriority w:val="0"/>
    <w:rPr>
      <w:color w:val="999999"/>
    </w:rPr>
  </w:style>
  <w:style w:type="character" w:customStyle="1" w:styleId="29">
    <w:name w:val="grey1"/>
    <w:basedOn w:val="14"/>
    <w:qFormat/>
    <w:uiPriority w:val="0"/>
    <w:rPr>
      <w:color w:val="999999"/>
    </w:rPr>
  </w:style>
  <w:style w:type="character" w:customStyle="1" w:styleId="30">
    <w:name w:val="s-point"/>
    <w:basedOn w:val="14"/>
    <w:qFormat/>
    <w:uiPriority w:val="0"/>
    <w:rPr>
      <w:sz w:val="0"/>
      <w:szCs w:val="0"/>
      <w:bdr w:val="dashed" w:color="auto" w:sz="48" w:space="0"/>
    </w:rPr>
  </w:style>
  <w:style w:type="character" w:customStyle="1" w:styleId="31">
    <w:name w:val="s-point1"/>
    <w:basedOn w:val="14"/>
    <w:qFormat/>
    <w:uiPriority w:val="0"/>
  </w:style>
  <w:style w:type="character" w:customStyle="1" w:styleId="32">
    <w:name w:val="s-point2"/>
    <w:basedOn w:val="14"/>
    <w:qFormat/>
    <w:uiPriority w:val="0"/>
    <w:rPr>
      <w:sz w:val="0"/>
      <w:szCs w:val="0"/>
      <w:bdr w:val="dashed" w:color="auto" w:sz="48" w:space="0"/>
    </w:rPr>
  </w:style>
  <w:style w:type="character" w:customStyle="1" w:styleId="33">
    <w:name w:val="default-cyan"/>
    <w:basedOn w:val="14"/>
    <w:qFormat/>
    <w:uiPriority w:val="0"/>
  </w:style>
  <w:style w:type="character" w:customStyle="1" w:styleId="34">
    <w:name w:val="line-skyblue"/>
    <w:basedOn w:val="14"/>
    <w:qFormat/>
    <w:uiPriority w:val="0"/>
  </w:style>
  <w:style w:type="character" w:customStyle="1" w:styleId="35">
    <w:name w:val="width-orange"/>
    <w:basedOn w:val="14"/>
    <w:qFormat/>
    <w:uiPriority w:val="0"/>
  </w:style>
  <w:style w:type="character" w:customStyle="1" w:styleId="36">
    <w:name w:val="line-pink"/>
    <w:basedOn w:val="14"/>
    <w:qFormat/>
    <w:uiPriority w:val="0"/>
  </w:style>
  <w:style w:type="character" w:customStyle="1" w:styleId="37">
    <w:name w:val="q-meta-author"/>
    <w:basedOn w:val="14"/>
    <w:qFormat/>
    <w:uiPriority w:val="0"/>
    <w:rPr>
      <w:color w:val="BA2E2E"/>
    </w:rPr>
  </w:style>
  <w:style w:type="character" w:customStyle="1" w:styleId="38">
    <w:name w:val="q-meta-author1"/>
    <w:basedOn w:val="14"/>
    <w:qFormat/>
    <w:uiPriority w:val="0"/>
    <w:rPr>
      <w:color w:val="4799E7"/>
    </w:rPr>
  </w:style>
  <w:style w:type="character" w:customStyle="1" w:styleId="39">
    <w:name w:val="q-meta-author2"/>
    <w:basedOn w:val="14"/>
    <w:qFormat/>
    <w:uiPriority w:val="0"/>
    <w:rPr>
      <w:color w:val="393D49"/>
    </w:rPr>
  </w:style>
  <w:style w:type="character" w:customStyle="1" w:styleId="40">
    <w:name w:val="q-meta-author3"/>
    <w:basedOn w:val="14"/>
    <w:qFormat/>
    <w:uiPriority w:val="0"/>
    <w:rPr>
      <w:color w:val="ED6D00"/>
    </w:rPr>
  </w:style>
  <w:style w:type="character" w:customStyle="1" w:styleId="41">
    <w:name w:val="q-meta-author4"/>
    <w:basedOn w:val="14"/>
    <w:qFormat/>
    <w:uiPriority w:val="0"/>
    <w:rPr>
      <w:color w:val="55AAA3"/>
    </w:rPr>
  </w:style>
  <w:style w:type="character" w:customStyle="1" w:styleId="42">
    <w:name w:val="width-lightgreen"/>
    <w:basedOn w:val="14"/>
    <w:qFormat/>
    <w:uiPriority w:val="0"/>
  </w:style>
  <w:style w:type="character" w:customStyle="1" w:styleId="43">
    <w:name w:val="width-darkred"/>
    <w:basedOn w:val="14"/>
    <w:qFormat/>
    <w:uiPriority w:val="0"/>
  </w:style>
  <w:style w:type="character" w:customStyle="1" w:styleId="44">
    <w:name w:val="newpure-blue"/>
    <w:basedOn w:val="14"/>
    <w:qFormat/>
    <w:uiPriority w:val="0"/>
  </w:style>
  <w:style w:type="character" w:customStyle="1" w:styleId="45">
    <w:name w:val="button"/>
    <w:basedOn w:val="14"/>
    <w:qFormat/>
    <w:uiPriority w:val="0"/>
  </w:style>
  <w:style w:type="character" w:customStyle="1" w:styleId="46">
    <w:name w:val="button1"/>
    <w:basedOn w:val="14"/>
    <w:qFormat/>
    <w:uiPriority w:val="0"/>
  </w:style>
  <w:style w:type="character" w:customStyle="1" w:styleId="47">
    <w:name w:val="button2"/>
    <w:basedOn w:val="14"/>
    <w:qFormat/>
    <w:uiPriority w:val="0"/>
    <w:rPr>
      <w:rFonts w:hint="default" w:ascii="Fawanhu" w:hAnsi="Fawanhu" w:eastAsia="Fawanhu" w:cs="Fawanhu"/>
      <w:sz w:val="24"/>
      <w:szCs w:val="24"/>
      <w:bdr w:val="single" w:color="auto" w:sz="2" w:space="0"/>
    </w:rPr>
  </w:style>
  <w:style w:type="character" w:customStyle="1" w:styleId="48">
    <w:name w:val="button3"/>
    <w:basedOn w:val="14"/>
    <w:qFormat/>
    <w:uiPriority w:val="0"/>
    <w:rPr>
      <w:color w:val="777575"/>
    </w:rPr>
  </w:style>
  <w:style w:type="character" w:customStyle="1" w:styleId="49">
    <w:name w:val="button4"/>
    <w:basedOn w:val="14"/>
    <w:qFormat/>
    <w:uiPriority w:val="0"/>
  </w:style>
  <w:style w:type="character" w:customStyle="1" w:styleId="50">
    <w:name w:val="button5"/>
    <w:basedOn w:val="14"/>
    <w:qFormat/>
    <w:uiPriority w:val="0"/>
    <w:rPr>
      <w:rFonts w:hint="default" w:ascii="Fawanhu" w:hAnsi="Fawanhu" w:eastAsia="Fawanhu" w:cs="Fawanhu"/>
      <w:sz w:val="24"/>
      <w:szCs w:val="24"/>
      <w:bdr w:val="single" w:color="auto" w:sz="2" w:space="0"/>
    </w:rPr>
  </w:style>
  <w:style w:type="character" w:customStyle="1" w:styleId="51">
    <w:name w:val="button6"/>
    <w:basedOn w:val="14"/>
    <w:qFormat/>
    <w:uiPriority w:val="0"/>
    <w:rPr>
      <w:sz w:val="18"/>
      <w:szCs w:val="18"/>
    </w:rPr>
  </w:style>
  <w:style w:type="character" w:customStyle="1" w:styleId="52">
    <w:name w:val="button7"/>
    <w:basedOn w:val="14"/>
    <w:qFormat/>
    <w:uiPriority w:val="0"/>
  </w:style>
  <w:style w:type="character" w:customStyle="1" w:styleId="53">
    <w:name w:val="button8"/>
    <w:basedOn w:val="14"/>
    <w:qFormat/>
    <w:uiPriority w:val="0"/>
  </w:style>
  <w:style w:type="character" w:customStyle="1" w:styleId="54">
    <w:name w:val="button9"/>
    <w:basedOn w:val="14"/>
    <w:qFormat/>
    <w:uiPriority w:val="0"/>
    <w:rPr>
      <w:sz w:val="18"/>
      <w:szCs w:val="18"/>
    </w:rPr>
  </w:style>
  <w:style w:type="character" w:customStyle="1" w:styleId="55">
    <w:name w:val="button10"/>
    <w:basedOn w:val="14"/>
    <w:qFormat/>
    <w:uiPriority w:val="0"/>
  </w:style>
  <w:style w:type="character" w:customStyle="1" w:styleId="56">
    <w:name w:val="button11"/>
    <w:basedOn w:val="14"/>
    <w:qFormat/>
    <w:uiPriority w:val="0"/>
  </w:style>
  <w:style w:type="character" w:customStyle="1" w:styleId="57">
    <w:name w:val="button12"/>
    <w:basedOn w:val="14"/>
    <w:qFormat/>
    <w:uiPriority w:val="0"/>
    <w:rPr>
      <w:sz w:val="18"/>
      <w:szCs w:val="18"/>
    </w:rPr>
  </w:style>
  <w:style w:type="character" w:customStyle="1" w:styleId="58">
    <w:name w:val="button13"/>
    <w:basedOn w:val="14"/>
    <w:qFormat/>
    <w:uiPriority w:val="0"/>
  </w:style>
  <w:style w:type="character" w:customStyle="1" w:styleId="59">
    <w:name w:val="button14"/>
    <w:basedOn w:val="14"/>
    <w:qFormat/>
    <w:uiPriority w:val="0"/>
  </w:style>
  <w:style w:type="character" w:customStyle="1" w:styleId="60">
    <w:name w:val="width-seablue"/>
    <w:basedOn w:val="14"/>
    <w:qFormat/>
    <w:uiPriority w:val="0"/>
  </w:style>
  <w:style w:type="character" w:customStyle="1" w:styleId="61">
    <w:name w:val="newpure-darkblue"/>
    <w:basedOn w:val="14"/>
    <w:qFormat/>
    <w:uiPriority w:val="0"/>
  </w:style>
  <w:style w:type="character" w:customStyle="1" w:styleId="62">
    <w:name w:val="default-red"/>
    <w:basedOn w:val="14"/>
    <w:qFormat/>
    <w:uiPriority w:val="0"/>
  </w:style>
  <w:style w:type="character" w:customStyle="1" w:styleId="63">
    <w:name w:val="default-maroon"/>
    <w:basedOn w:val="14"/>
    <w:qFormat/>
    <w:uiPriority w:val="0"/>
  </w:style>
  <w:style w:type="character" w:customStyle="1" w:styleId="64">
    <w:name w:val="hover144"/>
    <w:basedOn w:val="14"/>
    <w:qFormat/>
    <w:uiPriority w:val="0"/>
    <w:rPr>
      <w:sz w:val="21"/>
      <w:szCs w:val="21"/>
    </w:rPr>
  </w:style>
  <w:style w:type="character" w:customStyle="1" w:styleId="65">
    <w:name w:val="hover145"/>
    <w:basedOn w:val="14"/>
    <w:qFormat/>
    <w:uiPriority w:val="0"/>
    <w:rPr>
      <w:shd w:val="clear" w:color="auto" w:fill="F3F3F3"/>
    </w:rPr>
  </w:style>
  <w:style w:type="character" w:customStyle="1" w:styleId="66">
    <w:name w:val="hover146"/>
    <w:basedOn w:val="14"/>
    <w:qFormat/>
    <w:uiPriority w:val="0"/>
    <w:rPr>
      <w:shd w:val="clear" w:color="auto" w:fill="F3F3F3"/>
    </w:rPr>
  </w:style>
  <w:style w:type="character" w:customStyle="1" w:styleId="67">
    <w:name w:val="hover147"/>
    <w:basedOn w:val="14"/>
    <w:qFormat/>
    <w:uiPriority w:val="0"/>
    <w:rPr>
      <w:color w:val="BA2E2E"/>
    </w:rPr>
  </w:style>
  <w:style w:type="character" w:customStyle="1" w:styleId="68">
    <w:name w:val="hover148"/>
    <w:basedOn w:val="14"/>
    <w:qFormat/>
    <w:uiPriority w:val="0"/>
    <w:rPr>
      <w:color w:val="4799E7"/>
    </w:rPr>
  </w:style>
  <w:style w:type="character" w:customStyle="1" w:styleId="69">
    <w:name w:val="hover149"/>
    <w:basedOn w:val="14"/>
    <w:qFormat/>
    <w:uiPriority w:val="0"/>
    <w:rPr>
      <w:color w:val="393D49"/>
    </w:rPr>
  </w:style>
  <w:style w:type="character" w:customStyle="1" w:styleId="70">
    <w:name w:val="hover150"/>
    <w:basedOn w:val="14"/>
    <w:qFormat/>
    <w:uiPriority w:val="0"/>
    <w:rPr>
      <w:color w:val="ED6D00"/>
    </w:rPr>
  </w:style>
  <w:style w:type="character" w:customStyle="1" w:styleId="71">
    <w:name w:val="hover151"/>
    <w:basedOn w:val="14"/>
    <w:qFormat/>
    <w:uiPriority w:val="0"/>
    <w:rPr>
      <w:color w:val="55AAA3"/>
    </w:rPr>
  </w:style>
  <w:style w:type="character" w:customStyle="1" w:styleId="72">
    <w:name w:val="default-darkblue"/>
    <w:basedOn w:val="14"/>
    <w:qFormat/>
    <w:uiPriority w:val="0"/>
  </w:style>
  <w:style w:type="character" w:customStyle="1" w:styleId="73">
    <w:name w:val="switch"/>
    <w:basedOn w:val="14"/>
    <w:qFormat/>
    <w:uiPriority w:val="0"/>
    <w:rPr>
      <w:vanish/>
      <w:shd w:val="clear" w:color="auto" w:fill="FFFFFF"/>
    </w:rPr>
  </w:style>
  <w:style w:type="character" w:customStyle="1" w:styleId="74">
    <w:name w:val="switch1"/>
    <w:basedOn w:val="14"/>
    <w:qFormat/>
    <w:uiPriority w:val="0"/>
    <w:rPr>
      <w:vanish/>
      <w:shd w:val="clear" w:color="auto" w:fill="FFFFFF"/>
    </w:rPr>
  </w:style>
  <w:style w:type="character" w:customStyle="1" w:styleId="75">
    <w:name w:val="width-blue"/>
    <w:basedOn w:val="14"/>
    <w:qFormat/>
    <w:uiPriority w:val="0"/>
  </w:style>
  <w:style w:type="character" w:customStyle="1" w:styleId="76">
    <w:name w:val="newpure-gray"/>
    <w:basedOn w:val="14"/>
    <w:qFormat/>
    <w:uiPriority w:val="0"/>
  </w:style>
  <w:style w:type="character" w:customStyle="1" w:styleId="77">
    <w:name w:val="line-cyan"/>
    <w:basedOn w:val="14"/>
    <w:qFormat/>
    <w:uiPriority w:val="0"/>
  </w:style>
  <w:style w:type="character" w:customStyle="1" w:styleId="78">
    <w:name w:val="wh-sys-warn-num"/>
    <w:basedOn w:val="14"/>
    <w:qFormat/>
    <w:uiPriority w:val="0"/>
  </w:style>
  <w:style w:type="character" w:customStyle="1" w:styleId="79">
    <w:name w:val="wh-sys-warn-num1"/>
    <w:basedOn w:val="14"/>
    <w:qFormat/>
    <w:uiPriority w:val="0"/>
  </w:style>
  <w:style w:type="character" w:customStyle="1" w:styleId="80">
    <w:name w:val="wh-sys-warn-num2"/>
    <w:basedOn w:val="14"/>
    <w:qFormat/>
    <w:uiPriority w:val="0"/>
  </w:style>
  <w:style w:type="character" w:customStyle="1" w:styleId="81">
    <w:name w:val="wh-sys-warn-num3"/>
    <w:basedOn w:val="14"/>
    <w:qFormat/>
    <w:uiPriority w:val="0"/>
  </w:style>
  <w:style w:type="character" w:customStyle="1" w:styleId="82">
    <w:name w:val="wh-sys-warn-num4"/>
    <w:basedOn w:val="14"/>
    <w:qFormat/>
    <w:uiPriority w:val="0"/>
  </w:style>
  <w:style w:type="character" w:customStyle="1" w:styleId="83">
    <w:name w:val="default-purple"/>
    <w:basedOn w:val="14"/>
    <w:qFormat/>
    <w:uiPriority w:val="0"/>
  </w:style>
  <w:style w:type="character" w:customStyle="1" w:styleId="84">
    <w:name w:val="default-green"/>
    <w:basedOn w:val="14"/>
    <w:qFormat/>
    <w:uiPriority w:val="0"/>
  </w:style>
  <w:style w:type="character" w:customStyle="1" w:styleId="85">
    <w:name w:val="width-pink"/>
    <w:basedOn w:val="14"/>
    <w:qFormat/>
    <w:uiPriority w:val="0"/>
  </w:style>
  <w:style w:type="character" w:customStyle="1" w:styleId="86">
    <w:name w:val="newpure-red"/>
    <w:basedOn w:val="14"/>
    <w:qFormat/>
    <w:uiPriority w:val="0"/>
  </w:style>
  <w:style w:type="character" w:customStyle="1" w:styleId="87">
    <w:name w:val="line-maroon"/>
    <w:basedOn w:val="14"/>
    <w:qFormat/>
    <w:uiPriority w:val="0"/>
  </w:style>
  <w:style w:type="character" w:customStyle="1" w:styleId="88">
    <w:name w:val="wh-portal-a-cursor"/>
    <w:basedOn w:val="14"/>
    <w:qFormat/>
    <w:uiPriority w:val="0"/>
  </w:style>
  <w:style w:type="character" w:customStyle="1" w:styleId="89">
    <w:name w:val="wh-portal-a-cursor1"/>
    <w:basedOn w:val="14"/>
    <w:qFormat/>
    <w:uiPriority w:val="0"/>
    <w:rPr>
      <w:color w:val="202020"/>
    </w:rPr>
  </w:style>
  <w:style w:type="character" w:customStyle="1" w:styleId="90">
    <w:name w:val="newpure-purple"/>
    <w:basedOn w:val="14"/>
    <w:qFormat/>
    <w:uiPriority w:val="0"/>
  </w:style>
  <w:style w:type="character" w:customStyle="1" w:styleId="91">
    <w:name w:val="default-indigo"/>
    <w:basedOn w:val="14"/>
    <w:qFormat/>
    <w:uiPriority w:val="0"/>
  </w:style>
  <w:style w:type="character" w:customStyle="1" w:styleId="92">
    <w:name w:val="default-brown"/>
    <w:basedOn w:val="14"/>
    <w:qFormat/>
    <w:uiPriority w:val="0"/>
  </w:style>
  <w:style w:type="character" w:customStyle="1" w:styleId="93">
    <w:name w:val="default-violet"/>
    <w:basedOn w:val="14"/>
    <w:qFormat/>
    <w:uiPriority w:val="0"/>
  </w:style>
  <w:style w:type="character" w:customStyle="1" w:styleId="94">
    <w:name w:val="line-blue"/>
    <w:basedOn w:val="14"/>
    <w:qFormat/>
    <w:uiPriority w:val="0"/>
  </w:style>
  <w:style w:type="character" w:customStyle="1" w:styleId="95">
    <w:name w:val="width-brown"/>
    <w:basedOn w:val="14"/>
    <w:qFormat/>
    <w:uiPriority w:val="0"/>
  </w:style>
  <w:style w:type="character" w:customStyle="1" w:styleId="96">
    <w:name w:val="line-green"/>
    <w:basedOn w:val="14"/>
    <w:qFormat/>
    <w:uiPriority w:val="0"/>
  </w:style>
  <w:style w:type="character" w:customStyle="1" w:styleId="97">
    <w:name w:val="width-skyblue"/>
    <w:basedOn w:val="14"/>
    <w:qFormat/>
    <w:uiPriority w:val="0"/>
  </w:style>
  <w:style w:type="character" w:customStyle="1" w:styleId="98">
    <w:name w:val="default-blue"/>
    <w:basedOn w:val="14"/>
    <w:qFormat/>
    <w:uiPriority w:val="0"/>
  </w:style>
  <w:style w:type="character" w:customStyle="1" w:styleId="99">
    <w:name w:val="newpure-brown"/>
    <w:basedOn w:val="14"/>
    <w:qFormat/>
    <w:uiPriority w:val="0"/>
  </w:style>
  <w:style w:type="character" w:customStyle="1" w:styleId="100">
    <w:name w:val="default-seablue"/>
    <w:basedOn w:val="14"/>
    <w:qFormat/>
    <w:uiPriority w:val="0"/>
  </w:style>
  <w:style w:type="character" w:customStyle="1" w:styleId="101">
    <w:name w:val="newpure-skyblue"/>
    <w:basedOn w:val="14"/>
    <w:qFormat/>
    <w:uiPriority w:val="0"/>
  </w:style>
  <w:style w:type="character" w:customStyle="1" w:styleId="102">
    <w:name w:val="default-gray"/>
    <w:basedOn w:val="14"/>
    <w:qFormat/>
    <w:uiPriority w:val="0"/>
  </w:style>
  <w:style w:type="character" w:customStyle="1" w:styleId="103">
    <w:name w:val="pagelist-total"/>
    <w:basedOn w:val="14"/>
    <w:qFormat/>
    <w:uiPriority w:val="0"/>
    <w:rPr>
      <w:color w:val="BA2E2E"/>
    </w:rPr>
  </w:style>
  <w:style w:type="character" w:customStyle="1" w:styleId="104">
    <w:name w:val="pagelist-total1"/>
    <w:basedOn w:val="14"/>
    <w:qFormat/>
    <w:uiPriority w:val="0"/>
    <w:rPr>
      <w:color w:val="4799E7"/>
    </w:rPr>
  </w:style>
  <w:style w:type="character" w:customStyle="1" w:styleId="105">
    <w:name w:val="pagelist-total2"/>
    <w:basedOn w:val="14"/>
    <w:qFormat/>
    <w:uiPriority w:val="0"/>
    <w:rPr>
      <w:color w:val="393D49"/>
    </w:rPr>
  </w:style>
  <w:style w:type="character" w:customStyle="1" w:styleId="106">
    <w:name w:val="pagelist-total3"/>
    <w:basedOn w:val="14"/>
    <w:qFormat/>
    <w:uiPriority w:val="0"/>
    <w:rPr>
      <w:color w:val="ED6D00"/>
    </w:rPr>
  </w:style>
  <w:style w:type="character" w:customStyle="1" w:styleId="107">
    <w:name w:val="pagelist-total4"/>
    <w:basedOn w:val="14"/>
    <w:qFormat/>
    <w:uiPriority w:val="0"/>
    <w:rPr>
      <w:color w:val="55AAA3"/>
    </w:rPr>
  </w:style>
  <w:style w:type="character" w:customStyle="1" w:styleId="108">
    <w:name w:val="line-indigo"/>
    <w:basedOn w:val="14"/>
    <w:qFormat/>
    <w:uiPriority w:val="0"/>
  </w:style>
  <w:style w:type="character" w:customStyle="1" w:styleId="109">
    <w:name w:val="newpure-lightgreen"/>
    <w:basedOn w:val="14"/>
    <w:qFormat/>
    <w:uiPriority w:val="0"/>
  </w:style>
  <w:style w:type="character" w:customStyle="1" w:styleId="110">
    <w:name w:val="line-seablue"/>
    <w:basedOn w:val="14"/>
    <w:qFormat/>
    <w:uiPriority w:val="0"/>
  </w:style>
  <w:style w:type="character" w:customStyle="1" w:styleId="111">
    <w:name w:val="line-gray"/>
    <w:basedOn w:val="14"/>
    <w:qFormat/>
    <w:uiPriority w:val="0"/>
  </w:style>
  <w:style w:type="character" w:customStyle="1" w:styleId="112">
    <w:name w:val="default-pink"/>
    <w:basedOn w:val="14"/>
    <w:qFormat/>
    <w:uiPriority w:val="0"/>
  </w:style>
  <w:style w:type="character" w:customStyle="1" w:styleId="113">
    <w:name w:val="layui-layer-tabnow"/>
    <w:basedOn w:val="14"/>
    <w:qFormat/>
    <w:uiPriority w:val="0"/>
    <w:rPr>
      <w:bdr w:val="single" w:color="CCCCCC" w:sz="6" w:space="0"/>
      <w:shd w:val="clear" w:color="auto" w:fill="FFFFFF"/>
    </w:rPr>
  </w:style>
  <w:style w:type="character" w:customStyle="1" w:styleId="114">
    <w:name w:val="line-orange"/>
    <w:basedOn w:val="14"/>
    <w:qFormat/>
    <w:uiPriority w:val="0"/>
  </w:style>
  <w:style w:type="character" w:customStyle="1" w:styleId="115">
    <w:name w:val="width-green"/>
    <w:basedOn w:val="14"/>
    <w:qFormat/>
    <w:uiPriority w:val="0"/>
  </w:style>
  <w:style w:type="character" w:customStyle="1" w:styleId="116">
    <w:name w:val="line-lightgreen"/>
    <w:basedOn w:val="14"/>
    <w:qFormat/>
    <w:uiPriority w:val="0"/>
  </w:style>
  <w:style w:type="character" w:customStyle="1" w:styleId="117">
    <w:name w:val="newpure-black"/>
    <w:basedOn w:val="14"/>
    <w:qFormat/>
    <w:uiPriority w:val="0"/>
  </w:style>
  <w:style w:type="character" w:customStyle="1" w:styleId="118">
    <w:name w:val="default-orange"/>
    <w:basedOn w:val="14"/>
    <w:qFormat/>
    <w:uiPriority w:val="0"/>
  </w:style>
  <w:style w:type="character" w:customStyle="1" w:styleId="119">
    <w:name w:val="default-lightgreen"/>
    <w:basedOn w:val="14"/>
    <w:qFormat/>
    <w:uiPriority w:val="0"/>
  </w:style>
  <w:style w:type="character" w:customStyle="1" w:styleId="120">
    <w:name w:val="default-darkred"/>
    <w:basedOn w:val="14"/>
    <w:qFormat/>
    <w:uiPriority w:val="0"/>
  </w:style>
  <w:style w:type="character" w:customStyle="1" w:styleId="121">
    <w:name w:val="line-black"/>
    <w:basedOn w:val="14"/>
    <w:qFormat/>
    <w:uiPriority w:val="0"/>
  </w:style>
  <w:style w:type="character" w:customStyle="1" w:styleId="122">
    <w:name w:val="width-red"/>
    <w:basedOn w:val="14"/>
    <w:qFormat/>
    <w:uiPriority w:val="0"/>
  </w:style>
  <w:style w:type="character" w:customStyle="1" w:styleId="123">
    <w:name w:val="line-violet"/>
    <w:basedOn w:val="14"/>
    <w:qFormat/>
    <w:uiPriority w:val="0"/>
  </w:style>
  <w:style w:type="character" w:customStyle="1" w:styleId="124">
    <w:name w:val="line-purple"/>
    <w:basedOn w:val="14"/>
    <w:qFormat/>
    <w:uiPriority w:val="0"/>
  </w:style>
  <w:style w:type="character" w:customStyle="1" w:styleId="125">
    <w:name w:val="width-cyan"/>
    <w:basedOn w:val="14"/>
    <w:qFormat/>
    <w:uiPriority w:val="0"/>
  </w:style>
  <w:style w:type="character" w:customStyle="1" w:styleId="126">
    <w:name w:val="line-darkblue"/>
    <w:basedOn w:val="14"/>
    <w:qFormat/>
    <w:uiPriority w:val="0"/>
  </w:style>
  <w:style w:type="character" w:customStyle="1" w:styleId="127">
    <w:name w:val="default-black"/>
    <w:basedOn w:val="14"/>
    <w:qFormat/>
    <w:uiPriority w:val="0"/>
  </w:style>
  <w:style w:type="character" w:customStyle="1" w:styleId="128">
    <w:name w:val="line-red"/>
    <w:basedOn w:val="14"/>
    <w:qFormat/>
    <w:uiPriority w:val="0"/>
  </w:style>
  <w:style w:type="character" w:customStyle="1" w:styleId="129">
    <w:name w:val="line-darkred"/>
    <w:basedOn w:val="14"/>
    <w:qFormat/>
    <w:uiPriority w:val="0"/>
  </w:style>
  <w:style w:type="character" w:customStyle="1" w:styleId="130">
    <w:name w:val="newpure-cyan"/>
    <w:basedOn w:val="14"/>
    <w:qFormat/>
    <w:uiPriority w:val="0"/>
  </w:style>
  <w:style w:type="character" w:customStyle="1" w:styleId="131">
    <w:name w:val="newpure-orange"/>
    <w:basedOn w:val="14"/>
    <w:qFormat/>
    <w:uiPriority w:val="0"/>
  </w:style>
  <w:style w:type="character" w:customStyle="1" w:styleId="132">
    <w:name w:val="line-brown"/>
    <w:basedOn w:val="14"/>
    <w:qFormat/>
    <w:uiPriority w:val="0"/>
  </w:style>
  <w:style w:type="character" w:customStyle="1" w:styleId="133">
    <w:name w:val="newpure-darkred"/>
    <w:basedOn w:val="14"/>
    <w:qFormat/>
    <w:uiPriority w:val="0"/>
  </w:style>
  <w:style w:type="character" w:customStyle="1" w:styleId="134">
    <w:name w:val="newpure-green"/>
    <w:basedOn w:val="14"/>
    <w:qFormat/>
    <w:uiPriority w:val="0"/>
  </w:style>
  <w:style w:type="character" w:customStyle="1" w:styleId="135">
    <w:name w:val="newpure-indigo"/>
    <w:basedOn w:val="14"/>
    <w:qFormat/>
    <w:uiPriority w:val="0"/>
  </w:style>
  <w:style w:type="character" w:customStyle="1" w:styleId="136">
    <w:name w:val="newpure-seablue"/>
    <w:basedOn w:val="14"/>
    <w:qFormat/>
    <w:uiPriority w:val="0"/>
  </w:style>
  <w:style w:type="character" w:customStyle="1" w:styleId="137">
    <w:name w:val="newpure-violet"/>
    <w:basedOn w:val="14"/>
    <w:qFormat/>
    <w:uiPriority w:val="0"/>
  </w:style>
  <w:style w:type="character" w:customStyle="1" w:styleId="138">
    <w:name w:val="width-violet"/>
    <w:basedOn w:val="14"/>
    <w:qFormat/>
    <w:uiPriority w:val="0"/>
  </w:style>
  <w:style w:type="character" w:customStyle="1" w:styleId="139">
    <w:name w:val="width-purple"/>
    <w:basedOn w:val="14"/>
    <w:qFormat/>
    <w:uiPriority w:val="0"/>
  </w:style>
  <w:style w:type="character" w:customStyle="1" w:styleId="140">
    <w:name w:val="width-indigo"/>
    <w:basedOn w:val="14"/>
    <w:qFormat/>
    <w:uiPriority w:val="0"/>
  </w:style>
  <w:style w:type="character" w:customStyle="1" w:styleId="141">
    <w:name w:val="width-darkblue"/>
    <w:basedOn w:val="14"/>
    <w:qFormat/>
    <w:uiPriority w:val="0"/>
  </w:style>
  <w:style w:type="character" w:customStyle="1" w:styleId="142">
    <w:name w:val="width-maroon"/>
    <w:basedOn w:val="14"/>
    <w:qFormat/>
    <w:uiPriority w:val="0"/>
  </w:style>
  <w:style w:type="character" w:customStyle="1" w:styleId="143">
    <w:name w:val="office"/>
    <w:basedOn w:val="14"/>
    <w:qFormat/>
    <w:uiPriority w:val="0"/>
  </w:style>
  <w:style w:type="character" w:customStyle="1" w:styleId="144">
    <w:name w:val="width-gray"/>
    <w:basedOn w:val="14"/>
    <w:qFormat/>
    <w:uiPriority w:val="0"/>
  </w:style>
  <w:style w:type="character" w:customStyle="1" w:styleId="145">
    <w:name w:val="width-black"/>
    <w:basedOn w:val="14"/>
    <w:qFormat/>
    <w:uiPriority w:val="0"/>
  </w:style>
  <w:style w:type="character" w:customStyle="1" w:styleId="146">
    <w:name w:val="first-child"/>
    <w:basedOn w:val="14"/>
    <w:qFormat/>
    <w:uiPriority w:val="0"/>
  </w:style>
  <w:style w:type="character" w:customStyle="1" w:styleId="147">
    <w:name w:val="show2"/>
    <w:basedOn w:val="14"/>
    <w:qFormat/>
    <w:uiPriority w:val="0"/>
    <w:rPr>
      <w:color w:val="FFFFFF"/>
    </w:rPr>
  </w:style>
  <w:style w:type="character" w:customStyle="1" w:styleId="148">
    <w:name w:val="show3"/>
    <w:basedOn w:val="14"/>
    <w:qFormat/>
    <w:uiPriority w:val="0"/>
    <w:rPr>
      <w:bdr w:val="single" w:color="BA2E2E" w:sz="6" w:space="0"/>
      <w:shd w:val="clear" w:color="auto" w:fill="BA2E2E"/>
    </w:rPr>
  </w:style>
  <w:style w:type="character" w:customStyle="1" w:styleId="149">
    <w:name w:val="show4"/>
    <w:basedOn w:val="14"/>
    <w:qFormat/>
    <w:uiPriority w:val="0"/>
    <w:rPr>
      <w:bdr w:val="single" w:color="4799E7" w:sz="6" w:space="0"/>
      <w:shd w:val="clear" w:color="auto" w:fill="4799E7"/>
    </w:rPr>
  </w:style>
  <w:style w:type="character" w:customStyle="1" w:styleId="150">
    <w:name w:val="show5"/>
    <w:basedOn w:val="14"/>
    <w:qFormat/>
    <w:uiPriority w:val="0"/>
    <w:rPr>
      <w:bdr w:val="single" w:color="393D49" w:sz="6" w:space="0"/>
      <w:shd w:val="clear" w:color="auto" w:fill="393D49"/>
    </w:rPr>
  </w:style>
  <w:style w:type="character" w:customStyle="1" w:styleId="151">
    <w:name w:val="show6"/>
    <w:basedOn w:val="14"/>
    <w:qFormat/>
    <w:uiPriority w:val="0"/>
    <w:rPr>
      <w:bdr w:val="single" w:color="ED6D00" w:sz="6" w:space="0"/>
      <w:shd w:val="clear" w:color="auto" w:fill="ED6D00"/>
    </w:rPr>
  </w:style>
  <w:style w:type="character" w:customStyle="1" w:styleId="152">
    <w:name w:val="show7"/>
    <w:basedOn w:val="14"/>
    <w:qFormat/>
    <w:uiPriority w:val="0"/>
    <w:rPr>
      <w:bdr w:val="single" w:color="55AAA3" w:sz="6" w:space="0"/>
      <w:shd w:val="clear" w:color="auto" w:fill="55AAA3"/>
    </w:rPr>
  </w:style>
  <w:style w:type="character" w:customStyle="1" w:styleId="153">
    <w:name w:val="wh-portal-overtime"/>
    <w:basedOn w:val="14"/>
    <w:qFormat/>
    <w:uiPriority w:val="0"/>
  </w:style>
  <w:style w:type="character" w:customStyle="1" w:styleId="154">
    <w:name w:val="wh-portal-overtime1"/>
    <w:basedOn w:val="14"/>
    <w:qFormat/>
    <w:uiPriority w:val="0"/>
  </w:style>
  <w:style w:type="character" w:customStyle="1" w:styleId="155">
    <w:name w:val="fa_ico_docu"/>
    <w:basedOn w:val="14"/>
    <w:qFormat/>
    <w:uiPriority w:val="0"/>
  </w:style>
  <w:style w:type="character" w:customStyle="1" w:styleId="156">
    <w:name w:val="wh-hd-lspan"/>
    <w:basedOn w:val="14"/>
    <w:qFormat/>
    <w:uiPriority w:val="0"/>
  </w:style>
  <w:style w:type="character" w:customStyle="1" w:styleId="157">
    <w:name w:val="wh-portal-overtime2"/>
    <w:basedOn w:val="14"/>
    <w:qFormat/>
    <w:uiPriority w:val="0"/>
    <w:rPr>
      <w:color w:val="FF0000"/>
    </w:rPr>
  </w:style>
  <w:style w:type="character" w:customStyle="1" w:styleId="158">
    <w:name w:val="wh-portal-overtime21"/>
    <w:basedOn w:val="14"/>
    <w:qFormat/>
    <w:uiPriority w:val="0"/>
    <w:rPr>
      <w:color w:val="FF0000"/>
    </w:rPr>
  </w:style>
  <w:style w:type="character" w:customStyle="1" w:styleId="159">
    <w:name w:val="stockinfo"/>
    <w:basedOn w:val="14"/>
    <w:qFormat/>
    <w:uiPriority w:val="0"/>
  </w:style>
  <w:style w:type="character" w:customStyle="1" w:styleId="160">
    <w:name w:val="fa_ico_open"/>
    <w:basedOn w:val="14"/>
    <w:qFormat/>
    <w:uiPriority w:val="0"/>
    <w:rPr>
      <w:color w:val="777575"/>
    </w:rPr>
  </w:style>
  <w:style w:type="character" w:customStyle="1" w:styleId="161">
    <w:name w:val="online-per"/>
    <w:basedOn w:val="14"/>
    <w:qFormat/>
    <w:uiPriority w:val="0"/>
    <w:rPr>
      <w:color w:val="BA2E2E"/>
    </w:rPr>
  </w:style>
  <w:style w:type="character" w:customStyle="1" w:styleId="162">
    <w:name w:val="online-per1"/>
    <w:basedOn w:val="14"/>
    <w:qFormat/>
    <w:uiPriority w:val="0"/>
    <w:rPr>
      <w:color w:val="4799E7"/>
    </w:rPr>
  </w:style>
  <w:style w:type="character" w:customStyle="1" w:styleId="163">
    <w:name w:val="online-per2"/>
    <w:basedOn w:val="14"/>
    <w:qFormat/>
    <w:uiPriority w:val="0"/>
    <w:rPr>
      <w:color w:val="393D49"/>
    </w:rPr>
  </w:style>
  <w:style w:type="character" w:customStyle="1" w:styleId="164">
    <w:name w:val="online-per3"/>
    <w:basedOn w:val="14"/>
    <w:qFormat/>
    <w:uiPriority w:val="0"/>
    <w:rPr>
      <w:color w:val="ED6D00"/>
    </w:rPr>
  </w:style>
  <w:style w:type="character" w:customStyle="1" w:styleId="165">
    <w:name w:val="online-per4"/>
    <w:basedOn w:val="14"/>
    <w:qFormat/>
    <w:uiPriority w:val="0"/>
    <w:rPr>
      <w:color w:val="55AAA3"/>
    </w:rPr>
  </w:style>
  <w:style w:type="character" w:customStyle="1" w:styleId="166">
    <w:name w:val="font01"/>
    <w:basedOn w:val="14"/>
    <w:qFormat/>
    <w:uiPriority w:val="0"/>
    <w:rPr>
      <w:rFonts w:hint="eastAsia" w:ascii="宋体" w:hAnsi="宋体" w:eastAsia="宋体" w:cs="宋体"/>
      <w:color w:val="000000"/>
      <w:sz w:val="24"/>
      <w:szCs w:val="24"/>
      <w:u w:val="none"/>
    </w:rPr>
  </w:style>
  <w:style w:type="character" w:customStyle="1" w:styleId="167">
    <w:name w:val="font21"/>
    <w:basedOn w:val="14"/>
    <w:qFormat/>
    <w:uiPriority w:val="0"/>
    <w:rPr>
      <w:rFonts w:hint="eastAsia" w:ascii="仿宋_GB2312" w:eastAsia="仿宋_GB2312" w:cs="仿宋_GB2312"/>
      <w:color w:val="000000"/>
      <w:sz w:val="24"/>
      <w:szCs w:val="24"/>
      <w:u w:val="none"/>
    </w:rPr>
  </w:style>
  <w:style w:type="character" w:customStyle="1" w:styleId="168">
    <w:name w:val="font31"/>
    <w:basedOn w:val="14"/>
    <w:qFormat/>
    <w:uiPriority w:val="0"/>
    <w:rPr>
      <w:rFonts w:ascii="Calibri" w:hAnsi="Calibri" w:cs="Calibri"/>
      <w:color w:val="000000"/>
      <w:sz w:val="24"/>
      <w:szCs w:val="24"/>
      <w:u w:val="none"/>
    </w:rPr>
  </w:style>
  <w:style w:type="character" w:customStyle="1" w:styleId="169">
    <w:name w:val="font11"/>
    <w:basedOn w:val="14"/>
    <w:qFormat/>
    <w:uiPriority w:val="0"/>
    <w:rPr>
      <w:rFonts w:hint="eastAsia" w:ascii="宋体" w:hAnsi="宋体" w:eastAsia="宋体" w:cs="宋体"/>
      <w:color w:val="000000"/>
      <w:sz w:val="24"/>
      <w:szCs w:val="24"/>
      <w:u w:val="none"/>
    </w:rPr>
  </w:style>
  <w:style w:type="character" w:customStyle="1" w:styleId="170">
    <w:name w:val="font41"/>
    <w:basedOn w:val="14"/>
    <w:qFormat/>
    <w:uiPriority w:val="0"/>
    <w:rPr>
      <w:rFonts w:hint="eastAsia" w:ascii="宋体" w:hAnsi="宋体" w:eastAsia="宋体" w:cs="宋体"/>
      <w:color w:val="000000"/>
      <w:sz w:val="28"/>
      <w:szCs w:val="28"/>
      <w:u w:val="none"/>
    </w:rPr>
  </w:style>
  <w:style w:type="character" w:customStyle="1" w:styleId="171">
    <w:name w:val="font71"/>
    <w:basedOn w:val="14"/>
    <w:qFormat/>
    <w:uiPriority w:val="0"/>
    <w:rPr>
      <w:rFonts w:hint="eastAsia" w:ascii="宋体" w:hAnsi="宋体" w:eastAsia="宋体" w:cs="宋体"/>
      <w:b/>
      <w:bCs/>
      <w:color w:val="000000"/>
      <w:sz w:val="26"/>
      <w:szCs w:val="26"/>
      <w:u w:val="single"/>
    </w:rPr>
  </w:style>
  <w:style w:type="character" w:customStyle="1" w:styleId="172">
    <w:name w:val="font51"/>
    <w:basedOn w:val="14"/>
    <w:qFormat/>
    <w:uiPriority w:val="0"/>
    <w:rPr>
      <w:rFonts w:hint="eastAsia" w:ascii="宋体" w:hAnsi="宋体" w:eastAsia="宋体" w:cs="宋体"/>
      <w:b/>
      <w:bCs/>
      <w:color w:val="000000"/>
      <w:sz w:val="26"/>
      <w:szCs w:val="26"/>
      <w:u w:val="none"/>
    </w:rPr>
  </w:style>
  <w:style w:type="character" w:customStyle="1" w:styleId="173">
    <w:name w:val="font61"/>
    <w:basedOn w:val="14"/>
    <w:qFormat/>
    <w:uiPriority w:val="0"/>
    <w:rPr>
      <w:rFonts w:ascii="Calibri" w:hAnsi="Calibri" w:cs="Calibri"/>
      <w:color w:val="000000"/>
      <w:sz w:val="28"/>
      <w:szCs w:val="28"/>
      <w:u w:val="none"/>
    </w:rPr>
  </w:style>
  <w:style w:type="paragraph" w:customStyle="1" w:styleId="174">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2981</Words>
  <Characters>3430</Characters>
  <Paragraphs>187</Paragraphs>
  <TotalTime>0</TotalTime>
  <ScaleCrop>false</ScaleCrop>
  <LinksUpToDate>false</LinksUpToDate>
  <CharactersWithSpaces>3590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2020-11-11T07:12:00Z</dcterms:created>
  <dc:creator>123</dc:creator>
  <cp:lastModifiedBy>杨尹</cp:lastModifiedBy>
  <cp:lastPrinted>2023-02-20T02:28:00Z</cp:lastPrinted>
  <dcterms:modified xsi:type="dcterms:W3CDTF">2025-12-10T07:11:03Z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cbed015b6e244d33be26cf81bddbf787_23</vt:lpwstr>
  </property>
</Properties>
</file>