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42D95">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106E81EA">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2FB55EF3">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bookmarkStart w:id="0" w:name="_Hlk9544796"/>
    </w:p>
    <w:p w14:paraId="6650838D">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询价文件</w:t>
      </w:r>
    </w:p>
    <w:bookmarkEnd w:id="0"/>
    <w:p w14:paraId="53471B48">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p>
    <w:p w14:paraId="1E896CC3">
      <w:pPr>
        <w:rPr>
          <w:rFonts w:ascii="Times New Roman" w:hAnsi="Times New Roman" w:cs="Times New Roman"/>
          <w:bCs/>
          <w:sz w:val="44"/>
          <w:szCs w:val="44"/>
        </w:rPr>
      </w:pPr>
    </w:p>
    <w:p w14:paraId="2F802F06">
      <w:pPr>
        <w:rPr>
          <w:rFonts w:ascii="Times New Roman" w:hAnsi="Times New Roman" w:cs="Times New Roman"/>
        </w:rPr>
      </w:pPr>
    </w:p>
    <w:p w14:paraId="7333D3FF">
      <w:pPr>
        <w:tabs>
          <w:tab w:val="left" w:pos="315"/>
          <w:tab w:val="left" w:pos="8820"/>
        </w:tabs>
        <w:spacing w:before="240" w:beforeLines="100" w:after="120" w:afterLines="50" w:line="360" w:lineRule="auto"/>
        <w:ind w:right="267" w:rightChars="127"/>
        <w:jc w:val="center"/>
        <w:rPr>
          <w:rFonts w:ascii="Times New Roman" w:hAnsi="Times New Roman" w:cs="Times New Roman"/>
          <w:bCs/>
          <w:sz w:val="44"/>
          <w:szCs w:val="44"/>
        </w:rPr>
      </w:pPr>
      <w:r>
        <w:drawing>
          <wp:inline distT="0" distB="0" distL="0" distR="0">
            <wp:extent cx="1381125" cy="1343025"/>
            <wp:effectExtent l="0" t="0" r="9525" b="9525"/>
            <wp:docPr id="1373742142" name="图片 137374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42142" name="图片 1373742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81125" cy="1343025"/>
                    </a:xfrm>
                    <a:prstGeom prst="rect">
                      <a:avLst/>
                    </a:prstGeom>
                    <a:noFill/>
                    <a:ln>
                      <a:noFill/>
                    </a:ln>
                  </pic:spPr>
                </pic:pic>
              </a:graphicData>
            </a:graphic>
          </wp:inline>
        </w:drawing>
      </w:r>
    </w:p>
    <w:p w14:paraId="39F6D64D">
      <w:pPr>
        <w:pStyle w:val="4"/>
      </w:pPr>
    </w:p>
    <w:p w14:paraId="5F10B3D1"/>
    <w:p w14:paraId="3B6CF14A">
      <w:pPr>
        <w:pStyle w:val="4"/>
        <w:spacing w:before="240" w:beforeLines="100" w:after="120" w:afterLines="50" w:line="360" w:lineRule="auto"/>
        <w:ind w:right="267" w:rightChars="127"/>
        <w:jc w:val="center"/>
        <w:rPr>
          <w:rFonts w:ascii="Times New Roman" w:hAnsi="Times New Roman" w:cs="Times New Roman"/>
          <w:bCs/>
          <w:sz w:val="44"/>
          <w:szCs w:val="44"/>
        </w:rPr>
      </w:pPr>
    </w:p>
    <w:p w14:paraId="68998474">
      <w:pPr>
        <w:tabs>
          <w:tab w:val="left" w:pos="315"/>
          <w:tab w:val="left" w:pos="8820"/>
        </w:tabs>
        <w:spacing w:before="240" w:beforeLines="100" w:after="120" w:afterLines="50" w:line="500" w:lineRule="exact"/>
        <w:ind w:right="267" w:rightChars="127"/>
        <w:rPr>
          <w:rFonts w:ascii="Times New Roman" w:hAnsi="Times New Roman" w:cs="Times New Roman"/>
          <w:b/>
          <w:bCs/>
          <w:sz w:val="44"/>
          <w:szCs w:val="44"/>
        </w:rPr>
      </w:pPr>
    </w:p>
    <w:p w14:paraId="5727A6D6">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rPr>
        <w:t>合肥经纬资产经营管理有限公司FS420蜘蛛式</w:t>
      </w:r>
      <w:r>
        <w:rPr>
          <w:rFonts w:hint="eastAsia" w:ascii="Times New Roman" w:hAnsi="Times New Roman" w:cs="Times New Roman"/>
          <w:b/>
          <w:spacing w:val="20"/>
          <w:kern w:val="0"/>
          <w:sz w:val="32"/>
          <w:szCs w:val="32"/>
          <w:u w:val="thick"/>
        </w:rPr>
        <w:t>高空平台等处置资产评估服务项目</w:t>
      </w:r>
    </w:p>
    <w:p w14:paraId="444BDEA1">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 xml:space="preserve"> 2025JWZCZB008</w:t>
      </w:r>
    </w:p>
    <w:p w14:paraId="0866B22F">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招 标 人：</w:t>
      </w:r>
      <w:bookmarkStart w:id="1" w:name="_Hlk168036481"/>
      <w:r>
        <w:rPr>
          <w:rFonts w:hint="eastAsia"/>
          <w:b/>
          <w:spacing w:val="20"/>
          <w:sz w:val="32"/>
          <w:szCs w:val="32"/>
          <w:u w:val="single"/>
        </w:rPr>
        <w:t>合肥经纬资产经营管理有限公司</w:t>
      </w:r>
    </w:p>
    <w:bookmarkEnd w:id="1"/>
    <w:p w14:paraId="22570114">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02D0B1D9">
      <w:pPr>
        <w:pStyle w:val="22"/>
        <w:ind w:firstLine="0" w:firstLineChars="0"/>
        <w:jc w:val="center"/>
      </w:pPr>
      <w:r>
        <w:rPr>
          <w:rFonts w:eastAsiaTheme="majorEastAsia"/>
          <w:b/>
          <w:sz w:val="36"/>
          <w:u w:val="single"/>
        </w:rPr>
        <w:t xml:space="preserve"> </w:t>
      </w:r>
      <w:r>
        <w:rPr>
          <w:rFonts w:hint="eastAsia" w:eastAsiaTheme="majorEastAsia"/>
          <w:b/>
          <w:sz w:val="36"/>
          <w:u w:val="single"/>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rPr>
        <w:t>12</w:t>
      </w:r>
      <w:r>
        <w:rPr>
          <w:rFonts w:eastAsiaTheme="majorEastAsia"/>
          <w:b/>
          <w:sz w:val="36"/>
          <w:u w:val="single"/>
        </w:rPr>
        <w:t xml:space="preserve"> </w:t>
      </w:r>
      <w:r>
        <w:rPr>
          <w:rFonts w:eastAsiaTheme="majorEastAsia"/>
          <w:b/>
          <w:sz w:val="36"/>
        </w:rPr>
        <w:t>月</w:t>
      </w:r>
    </w:p>
    <w:p w14:paraId="77B6ED19">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2B42CB69">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258BA32F">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14:paraId="00FE37FF">
      <w:pPr>
        <w:pStyle w:val="18"/>
        <w:tabs>
          <w:tab w:val="right" w:leader="dot" w:pos="8279"/>
        </w:tabs>
        <w:rPr>
          <w:rFonts w:ascii="Times New Roman" w:hAnsi="Times New Roman" w:cs="Times New Roman"/>
          <w:b/>
          <w:bCs/>
          <w:sz w:val="22"/>
          <w:szCs w:val="28"/>
        </w:rPr>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fldChar w:fldCharType="begin"/>
      </w:r>
      <w:r>
        <w:instrText xml:space="preserve"> HYPERLINK \l "_Toc31841" </w:instrText>
      </w:r>
      <w: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29A5EBD">
      <w:pPr>
        <w:pStyle w:val="18"/>
        <w:tabs>
          <w:tab w:val="right" w:leader="dot" w:pos="8279"/>
        </w:tabs>
        <w:rPr>
          <w:rFonts w:ascii="Times New Roman" w:hAnsi="Times New Roman" w:cs="Times New Roman"/>
          <w:b/>
          <w:bCs/>
          <w:sz w:val="22"/>
          <w:szCs w:val="28"/>
        </w:rPr>
      </w:pPr>
      <w:r>
        <w:fldChar w:fldCharType="begin"/>
      </w:r>
      <w:r>
        <w:instrText xml:space="preserve"> HYPERLINK \l "_Toc22742" </w:instrText>
      </w:r>
      <w: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1566A2B">
      <w:pPr>
        <w:pStyle w:val="18"/>
        <w:tabs>
          <w:tab w:val="right" w:leader="dot" w:pos="8279"/>
        </w:tabs>
        <w:rPr>
          <w:rFonts w:ascii="Times New Roman" w:hAnsi="Times New Roman" w:cs="Times New Roman"/>
          <w:b/>
          <w:bCs/>
          <w:sz w:val="22"/>
          <w:szCs w:val="28"/>
        </w:rPr>
      </w:pPr>
      <w:r>
        <w:fldChar w:fldCharType="begin"/>
      </w:r>
      <w:r>
        <w:instrText xml:space="preserve"> HYPERLINK \l "_Toc11969" </w:instrText>
      </w:r>
      <w: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845DCA0">
      <w:pPr>
        <w:pStyle w:val="18"/>
        <w:tabs>
          <w:tab w:val="right" w:leader="dot" w:pos="8279"/>
        </w:tabs>
        <w:rPr>
          <w:rFonts w:ascii="Times New Roman" w:hAnsi="Times New Roman" w:cs="Times New Roman"/>
          <w:b/>
          <w:bCs/>
          <w:sz w:val="22"/>
          <w:szCs w:val="28"/>
        </w:rPr>
      </w:pPr>
      <w:r>
        <w:fldChar w:fldCharType="begin"/>
      </w:r>
      <w:r>
        <w:instrText xml:space="preserve"> HYPERLINK \l "_Toc17615" </w:instrText>
      </w:r>
      <w: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917EF10">
      <w:pPr>
        <w:pStyle w:val="18"/>
        <w:tabs>
          <w:tab w:val="right" w:leader="dot" w:pos="8279"/>
        </w:tabs>
        <w:rPr>
          <w:rFonts w:ascii="Times New Roman" w:hAnsi="Times New Roman" w:cs="Times New Roman"/>
          <w:b/>
          <w:bCs/>
          <w:sz w:val="22"/>
          <w:szCs w:val="28"/>
        </w:rPr>
      </w:pPr>
      <w:r>
        <w:fldChar w:fldCharType="begin"/>
      </w:r>
      <w:r>
        <w:instrText xml:space="preserve"> HYPERLINK \l "_Toc28197" </w:instrText>
      </w:r>
      <w: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16</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4CCBEEB">
      <w:pPr>
        <w:pStyle w:val="18"/>
        <w:tabs>
          <w:tab w:val="right" w:leader="dot" w:pos="8279"/>
        </w:tabs>
        <w:rPr>
          <w:rFonts w:ascii="Times New Roman" w:hAnsi="Times New Roman" w:cs="Times New Roman"/>
          <w:b/>
          <w:bCs/>
          <w:sz w:val="22"/>
          <w:szCs w:val="28"/>
        </w:rPr>
      </w:pPr>
      <w:r>
        <w:fldChar w:fldCharType="begin"/>
      </w:r>
      <w:r>
        <w:instrText xml:space="preserve"> HYPERLINK \l "_Toc22226" </w:instrText>
      </w:r>
      <w: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28092406">
      <w:pPr>
        <w:pStyle w:val="18"/>
        <w:tabs>
          <w:tab w:val="right" w:leader="dot" w:pos="8279"/>
        </w:tabs>
        <w:rPr>
          <w:rFonts w:ascii="Times New Roman" w:hAnsi="Times New Roman" w:cs="Times New Roman"/>
        </w:rPr>
      </w:pPr>
    </w:p>
    <w:p w14:paraId="0A39B819">
      <w:pPr>
        <w:spacing w:line="360" w:lineRule="auto"/>
        <w:rPr>
          <w:rFonts w:ascii="Times New Roman" w:hAnsi="Times New Roman" w:cs="Times New Roman"/>
          <w:b/>
          <w:sz w:val="32"/>
        </w:rPr>
      </w:pPr>
      <w:r>
        <w:rPr>
          <w:rFonts w:ascii="Times New Roman" w:hAnsi="Times New Roman" w:cs="Times New Roman"/>
        </w:rPr>
        <w:fldChar w:fldCharType="end"/>
      </w:r>
    </w:p>
    <w:p w14:paraId="3EAE4BEC">
      <w:pPr>
        <w:spacing w:line="360" w:lineRule="auto"/>
        <w:jc w:val="center"/>
        <w:outlineLvl w:val="1"/>
        <w:rPr>
          <w:rFonts w:ascii="Times New Roman" w:hAnsi="Times New Roman" w:cs="Times New Roman"/>
          <w:b/>
          <w:sz w:val="28"/>
        </w:rPr>
        <w:sectPr>
          <w:footerReference r:id="rId3" w:type="default"/>
          <w:pgSz w:w="11907" w:h="16840"/>
          <w:pgMar w:top="1440" w:right="1519" w:bottom="1440" w:left="1519" w:header="851" w:footer="851" w:gutter="0"/>
          <w:cols w:space="720" w:num="1"/>
          <w:docGrid w:linePitch="462" w:charSpace="0"/>
        </w:sectPr>
      </w:pPr>
    </w:p>
    <w:p w14:paraId="670F463E">
      <w:pPr>
        <w:spacing w:line="360" w:lineRule="auto"/>
        <w:jc w:val="center"/>
        <w:outlineLvl w:val="1"/>
        <w:rPr>
          <w:rFonts w:ascii="Times New Roman" w:hAnsi="Times New Roman" w:cs="Times New Roman"/>
          <w:b/>
          <w:sz w:val="28"/>
        </w:rPr>
      </w:pPr>
      <w:bookmarkStart w:id="2" w:name="_Toc31841"/>
      <w:r>
        <w:rPr>
          <w:rFonts w:ascii="Times New Roman" w:hAnsi="Times New Roman" w:cs="Times New Roman"/>
          <w:b/>
          <w:sz w:val="28"/>
        </w:rPr>
        <w:t>第一章  询价</w:t>
      </w:r>
      <w:bookmarkEnd w:id="2"/>
      <w:r>
        <w:rPr>
          <w:rFonts w:ascii="Times New Roman" w:hAnsi="Times New Roman" w:cs="Times New Roman"/>
          <w:b/>
          <w:sz w:val="28"/>
        </w:rPr>
        <w:t>公告</w:t>
      </w:r>
    </w:p>
    <w:p w14:paraId="72135718">
      <w:pPr>
        <w:spacing w:line="360" w:lineRule="auto"/>
        <w:ind w:firstLine="435"/>
        <w:rPr>
          <w:rFonts w:ascii="Times New Roman" w:hAnsi="Times New Roman" w:cs="Times New Roman"/>
          <w:szCs w:val="21"/>
        </w:rPr>
      </w:pPr>
      <w:r>
        <w:rPr>
          <w:rFonts w:hint="eastAsia" w:ascii="Times New Roman" w:hAnsi="Times New Roman" w:cs="Times New Roman"/>
          <w:szCs w:val="21"/>
          <w:u w:val="single"/>
        </w:rPr>
        <w:t>合肥经纬资产经营管理有限公司</w:t>
      </w:r>
      <w:r>
        <w:rPr>
          <w:rFonts w:ascii="Times New Roman" w:hAnsi="Times New Roman" w:cs="Times New Roman"/>
          <w:szCs w:val="21"/>
          <w:u w:val="single"/>
        </w:rPr>
        <w:t xml:space="preserve"> </w:t>
      </w:r>
      <w:r>
        <w:rPr>
          <w:rFonts w:hint="eastAsia"/>
          <w:bCs/>
          <w:color w:val="000000"/>
        </w:rPr>
        <w:t>（简称“招标人”）</w:t>
      </w:r>
      <w:r>
        <w:rPr>
          <w:rFonts w:ascii="Times New Roman" w:hAnsi="Times New Roman" w:cs="Times New Roman"/>
          <w:szCs w:val="21"/>
        </w:rPr>
        <w:t>现对</w:t>
      </w:r>
      <w:r>
        <w:rPr>
          <w:rFonts w:ascii="Times New Roman" w:hAnsi="Times New Roman" w:cs="Times New Roman"/>
          <w:szCs w:val="21"/>
          <w:u w:val="single"/>
        </w:rPr>
        <w:t xml:space="preserve"> </w:t>
      </w:r>
      <w:r>
        <w:rPr>
          <w:rFonts w:hint="eastAsia" w:ascii="Times New Roman" w:hAnsi="Times New Roman" w:cs="Times New Roman"/>
          <w:szCs w:val="21"/>
          <w:u w:val="single"/>
        </w:rPr>
        <w:t>合肥经纬资产经营管理有限公司FS420蜘蛛式高空平台等处置资产评估服务项目</w:t>
      </w:r>
      <w:r>
        <w:rPr>
          <w:rFonts w:hint="eastAsia" w:ascii="Times New Roman" w:hAnsi="Times New Roman" w:cs="Times New Roman"/>
          <w:bCs/>
          <w:color w:val="000000"/>
          <w:szCs w:val="21"/>
          <w:u w:val="single"/>
        </w:rPr>
        <w:t xml:space="preserve"> </w:t>
      </w:r>
      <w:r>
        <w:rPr>
          <w:rFonts w:ascii="Times New Roman" w:hAnsi="Times New Roman" w:cs="Times New Roman"/>
          <w:szCs w:val="21"/>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14:paraId="331FA512">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14:paraId="768AE93D">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cs="Times New Roman"/>
          <w:szCs w:val="21"/>
        </w:rPr>
        <w:t xml:space="preserve"> </w:t>
      </w:r>
      <w:r>
        <w:rPr>
          <w:rFonts w:ascii="Times New Roman" w:hAnsi="Times New Roman" w:cs="Times New Roman"/>
          <w:szCs w:val="21"/>
          <w:u w:val="single"/>
        </w:rPr>
        <w:t>202</w:t>
      </w:r>
      <w:r>
        <w:rPr>
          <w:rFonts w:hint="eastAsia" w:ascii="Times New Roman" w:hAnsi="Times New Roman" w:cs="Times New Roman"/>
          <w:szCs w:val="21"/>
          <w:u w:val="single"/>
        </w:rPr>
        <w:t>5</w:t>
      </w:r>
      <w:r>
        <w:rPr>
          <w:rFonts w:ascii="Times New Roman" w:hAnsi="Times New Roman" w:cs="Times New Roman"/>
          <w:szCs w:val="21"/>
          <w:u w:val="single"/>
        </w:rPr>
        <w:t>JWZCZB00</w:t>
      </w:r>
      <w:r>
        <w:rPr>
          <w:rFonts w:hint="eastAsia" w:ascii="Times New Roman" w:hAnsi="Times New Roman" w:cs="Times New Roman"/>
          <w:szCs w:val="21"/>
          <w:u w:val="single"/>
        </w:rPr>
        <w:t>8</w:t>
      </w:r>
      <w:r>
        <w:rPr>
          <w:rFonts w:ascii="Times New Roman" w:hAnsi="Times New Roman" w:cs="Times New Roman"/>
          <w:szCs w:val="21"/>
          <w:u w:val="single"/>
        </w:rPr>
        <w:t xml:space="preserve"> </w:t>
      </w:r>
      <w:r>
        <w:rPr>
          <w:rFonts w:hint="eastAsia" w:ascii="Times New Roman" w:hAnsi="Times New Roman" w:cs="Times New Roman"/>
          <w:szCs w:val="21"/>
          <w:u w:val="single"/>
        </w:rPr>
        <w:t>号</w:t>
      </w:r>
    </w:p>
    <w:p w14:paraId="162F2C35">
      <w:pPr>
        <w:autoSpaceDE w:val="0"/>
        <w:autoSpaceDN w:val="0"/>
        <w:adjustRightInd w:val="0"/>
        <w:spacing w:line="360" w:lineRule="auto"/>
        <w:ind w:firstLine="382" w:firstLineChars="182"/>
        <w:jc w:val="left"/>
        <w:rPr>
          <w:rFonts w:ascii="Times New Roman" w:hAnsi="Times New Roman" w:cs="Times New Roman"/>
          <w:bCs/>
          <w:color w:val="000000"/>
          <w:szCs w:val="21"/>
          <w:u w:val="single"/>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rPr>
        <w:t>合肥经纬资产经营管理有限公司FS420蜘蛛式高空平台等处置资产评估服务项目</w:t>
      </w:r>
    </w:p>
    <w:p w14:paraId="2D1E25EA">
      <w:pPr>
        <w:autoSpaceDE w:val="0"/>
        <w:autoSpaceDN w:val="0"/>
        <w:adjustRightIn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szCs w:val="21"/>
          <w:u w:val="single"/>
        </w:rPr>
        <w:t>合肥市蜀山区汤池路与茗香路交口文渊府老售楼部</w:t>
      </w:r>
    </w:p>
    <w:p w14:paraId="738160E5">
      <w:pPr>
        <w:spacing w:line="360" w:lineRule="auto"/>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ascii="Times New Roman" w:hAnsi="Times New Roman" w:cs="Times New Roman"/>
          <w:szCs w:val="21"/>
          <w:u w:val="single"/>
        </w:rPr>
        <w:t>合肥经纬资产经营管理有限公司</w:t>
      </w:r>
    </w:p>
    <w:p w14:paraId="56B3DADC">
      <w:pPr>
        <w:spacing w:line="360" w:lineRule="auto"/>
        <w:ind w:firstLine="420" w:firstLineChars="200"/>
        <w:rPr>
          <w:rFonts w:ascii="Times New Roman" w:hAnsi="Times New Roman" w:cs="Times New Roman"/>
          <w:szCs w:val="21"/>
          <w:u w:val="single"/>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ascii="Times New Roman" w:hAnsi="Times New Roman" w:cs="Times New Roman"/>
          <w:szCs w:val="21"/>
          <w:u w:val="single"/>
        </w:rPr>
        <w:t>详见招标需求</w:t>
      </w:r>
    </w:p>
    <w:p w14:paraId="4BDA813D">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ascii="Times New Roman" w:hAnsi="Times New Roman" w:cs="Times New Roman"/>
          <w:szCs w:val="21"/>
          <w:u w:val="single"/>
        </w:rPr>
        <w:t xml:space="preserve">  </w:t>
      </w:r>
      <w:r>
        <w:rPr>
          <w:rFonts w:hint="eastAsia" w:ascii="Times New Roman" w:hAnsi="Times New Roman" w:cs="Times New Roman"/>
          <w:szCs w:val="21"/>
          <w:u w:val="single"/>
        </w:rPr>
        <w:t>自筹</w:t>
      </w:r>
      <w:r>
        <w:rPr>
          <w:rFonts w:ascii="Times New Roman" w:hAnsi="Times New Roman" w:cs="Times New Roman"/>
          <w:szCs w:val="21"/>
          <w:u w:val="single"/>
        </w:rPr>
        <w:t xml:space="preserve">    </w:t>
      </w:r>
    </w:p>
    <w:p w14:paraId="26E5E8A4">
      <w:pPr>
        <w:spacing w:line="360" w:lineRule="auto"/>
        <w:ind w:firstLine="420" w:firstLineChars="20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ascii="Times New Roman" w:hAnsi="Times New Roman" w:cs="Times New Roman"/>
          <w:szCs w:val="21"/>
          <w:u w:val="single"/>
        </w:rPr>
        <w:t xml:space="preserve">  </w:t>
      </w:r>
      <w:r>
        <w:rPr>
          <w:rFonts w:hint="eastAsia" w:ascii="Times New Roman" w:hAnsi="Times New Roman" w:cs="Times New Roman"/>
          <w:szCs w:val="21"/>
          <w:u w:val="single"/>
        </w:rPr>
        <w:t>9000元</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p>
    <w:p w14:paraId="49ECC006">
      <w:pPr>
        <w:spacing w:line="360" w:lineRule="auto"/>
        <w:ind w:firstLine="420" w:firstLineChars="20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w:t>
      </w:r>
      <w:r>
        <w:rPr>
          <w:rFonts w:hint="eastAsia" w:ascii="Times New Roman" w:hAnsi="Times New Roman" w:cs="Times New Roman"/>
          <w:szCs w:val="21"/>
          <w:u w:val="single"/>
        </w:rPr>
        <w:t>服务</w:t>
      </w:r>
      <w:r>
        <w:rPr>
          <w:rFonts w:ascii="Times New Roman" w:hAnsi="Times New Roman" w:cs="Times New Roman"/>
          <w:szCs w:val="21"/>
          <w:u w:val="single"/>
        </w:rPr>
        <w:t xml:space="preserve"> </w:t>
      </w:r>
    </w:p>
    <w:p w14:paraId="4042A2E6">
      <w:pPr>
        <w:spacing w:line="360" w:lineRule="auto"/>
        <w:ind w:firstLine="420" w:firstLineChars="20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b/>
          <w:szCs w:val="21"/>
        </w:rPr>
        <w:t>.</w:t>
      </w:r>
      <w:r>
        <w:rPr>
          <w:rFonts w:ascii="Times New Roman" w:hAnsi="Times New Roman" w:cs="Times New Roman"/>
          <w:szCs w:val="21"/>
        </w:rPr>
        <w:t>标段（包别）划分：共分</w:t>
      </w:r>
      <w:r>
        <w:rPr>
          <w:rFonts w:ascii="Times New Roman" w:hAnsi="Times New Roman" w:cs="Times New Roman"/>
          <w:szCs w:val="21"/>
          <w:u w:val="single"/>
        </w:rPr>
        <w:t xml:space="preserve"> 1</w:t>
      </w:r>
      <w:r>
        <w:rPr>
          <w:rFonts w:hint="eastAsia" w:ascii="Times New Roman" w:hAnsi="Times New Roman" w:cs="Times New Roman"/>
          <w:szCs w:val="21"/>
          <w:u w:val="single"/>
        </w:rPr>
        <w:t xml:space="preserve"> </w:t>
      </w:r>
      <w:r>
        <w:rPr>
          <w:rFonts w:ascii="Times New Roman" w:hAnsi="Times New Roman" w:cs="Times New Roman"/>
          <w:szCs w:val="21"/>
        </w:rPr>
        <w:t>个包，本次采购第</w:t>
      </w:r>
      <w:r>
        <w:rPr>
          <w:rFonts w:ascii="Times New Roman" w:hAnsi="Times New Roman" w:cs="Times New Roman"/>
          <w:szCs w:val="21"/>
          <w:u w:val="single"/>
        </w:rPr>
        <w:t xml:space="preserve"> 1 </w:t>
      </w:r>
      <w:r>
        <w:rPr>
          <w:rFonts w:ascii="Times New Roman" w:hAnsi="Times New Roman" w:cs="Times New Roman"/>
          <w:szCs w:val="21"/>
        </w:rPr>
        <w:t>包</w:t>
      </w:r>
    </w:p>
    <w:p w14:paraId="0CEF68B9">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14:paraId="7BF12152">
      <w:pPr>
        <w:widowControl/>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1.投标人具有独立承担民事责任的能力；</w:t>
      </w:r>
    </w:p>
    <w:p w14:paraId="2027577E">
      <w:pPr>
        <w:widowControl/>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2.投标人为合肥市建设投资控股</w:t>
      </w:r>
      <w:r>
        <w:rPr>
          <w:rFonts w:hint="eastAsia" w:ascii="Times New Roman" w:hAnsi="Times New Roman" w:cs="Times New Roman"/>
          <w:szCs w:val="21"/>
        </w:rPr>
        <w:t>（</w:t>
      </w:r>
      <w:r>
        <w:rPr>
          <w:rFonts w:ascii="Times New Roman" w:hAnsi="Times New Roman" w:cs="Times New Roman"/>
          <w:szCs w:val="21"/>
        </w:rPr>
        <w:t>集团</w:t>
      </w:r>
      <w:r>
        <w:rPr>
          <w:rFonts w:hint="eastAsia" w:ascii="Times New Roman" w:hAnsi="Times New Roman" w:cs="Times New Roman"/>
          <w:szCs w:val="21"/>
        </w:rPr>
        <w:t>）</w:t>
      </w:r>
      <w:r>
        <w:rPr>
          <w:rFonts w:ascii="Times New Roman" w:hAnsi="Times New Roman" w:cs="Times New Roman"/>
          <w:szCs w:val="21"/>
        </w:rPr>
        <w:t>有限公司资产评估备选库单位</w:t>
      </w:r>
      <w:r>
        <w:rPr>
          <w:rFonts w:hint="eastAsia" w:ascii="Times New Roman" w:hAnsi="Times New Roman" w:cs="Times New Roman"/>
          <w:szCs w:val="21"/>
        </w:rPr>
        <w:t>（</w:t>
      </w:r>
      <w:r>
        <w:rPr>
          <w:rFonts w:ascii="Times New Roman" w:hAnsi="Times New Roman" w:cs="Times New Roman"/>
          <w:szCs w:val="21"/>
        </w:rPr>
        <w:t>资产类</w:t>
      </w:r>
      <w:r>
        <w:rPr>
          <w:rFonts w:hint="eastAsia" w:ascii="Times New Roman" w:hAnsi="Times New Roman" w:cs="Times New Roman"/>
          <w:szCs w:val="21"/>
        </w:rPr>
        <w:t>）</w:t>
      </w:r>
      <w:r>
        <w:rPr>
          <w:rFonts w:ascii="Times New Roman" w:hAnsi="Times New Roman" w:cs="Times New Roman"/>
          <w:szCs w:val="21"/>
        </w:rPr>
        <w:t>；</w:t>
      </w:r>
    </w:p>
    <w:p w14:paraId="262C7896">
      <w:pPr>
        <w:widowControl/>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3.本项目不接受联合体投标；</w:t>
      </w:r>
    </w:p>
    <w:p w14:paraId="0488FF3F">
      <w:pPr>
        <w:widowControl/>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4.投标人不得存在的不良信用记录情形:近两年被列入合肥文旅博览集团有限公司信用评价体系黑名单。</w:t>
      </w:r>
    </w:p>
    <w:p w14:paraId="5D16248F">
      <w:pPr>
        <w:pStyle w:val="4"/>
        <w:spacing w:before="0" w:after="0" w:line="560" w:lineRule="exact"/>
        <w:rPr>
          <w:rFonts w:ascii="Times New Roman" w:hAnsi="Times New Roman" w:cs="Times New Roman"/>
          <w:bCs/>
          <w:sz w:val="24"/>
          <w:szCs w:val="18"/>
        </w:rPr>
      </w:pPr>
      <w:r>
        <w:rPr>
          <w:rFonts w:ascii="Times New Roman" w:hAnsi="Times New Roman" w:cs="Times New Roman"/>
          <w:bCs/>
          <w:sz w:val="24"/>
          <w:szCs w:val="18"/>
        </w:rPr>
        <w:t>三</w:t>
      </w:r>
      <w:r>
        <w:rPr>
          <w:rFonts w:ascii="Times New Roman" w:hAnsi="Times New Roman" w:cs="Times New Roman"/>
          <w:sz w:val="24"/>
        </w:rPr>
        <w:t>、</w:t>
      </w:r>
      <w:r>
        <w:rPr>
          <w:rFonts w:ascii="Times New Roman" w:hAnsi="Times New Roman" w:cs="Times New Roman"/>
          <w:bCs/>
          <w:sz w:val="24"/>
          <w:szCs w:val="18"/>
        </w:rPr>
        <w:t>询价文件的获取</w:t>
      </w:r>
      <w:r>
        <w:rPr>
          <w:rFonts w:hint="eastAsia" w:ascii="Times New Roman" w:hAnsi="Times New Roman" w:cs="Times New Roman"/>
          <w:bCs/>
          <w:sz w:val="24"/>
          <w:szCs w:val="18"/>
        </w:rPr>
        <w:t>及报名</w:t>
      </w:r>
    </w:p>
    <w:p w14:paraId="647C8270">
      <w:pPr>
        <w:widowControl/>
        <w:spacing w:line="500" w:lineRule="exact"/>
        <w:ind w:firstLine="420" w:firstLineChars="200"/>
        <w:jc w:val="left"/>
        <w:rPr>
          <w:rFonts w:ascii="Times New Roman" w:hAnsi="Times New Roman" w:eastAsia="宋体" w:cs="Times New Roman"/>
          <w:bCs/>
          <w:snapToGrid w:val="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202</w:t>
      </w:r>
      <w:r>
        <w:rPr>
          <w:rFonts w:hint="eastAsia" w:ascii="Times New Roman" w:hAnsi="Times New Roman" w:eastAsia="宋体" w:cs="Times New Roman"/>
          <w:bCs/>
          <w:snapToGrid w:val="0"/>
          <w:kern w:val="0"/>
          <w:szCs w:val="21"/>
          <w:u w:val="single"/>
        </w:rPr>
        <w:t>5</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 xml:space="preserve"> 12 </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 xml:space="preserve"> 2  </w:t>
      </w:r>
      <w:r>
        <w:rPr>
          <w:rFonts w:hint="eastAsia" w:ascii="Times New Roman" w:hAnsi="Times New Roman" w:eastAsia="宋体" w:cs="Times New Roman"/>
          <w:bCs/>
          <w:snapToGrid w:val="0"/>
        </w:rPr>
        <w:t>日至</w:t>
      </w:r>
      <w:r>
        <w:rPr>
          <w:rFonts w:ascii="Times New Roman" w:hAnsi="Times New Roman" w:eastAsia="宋体" w:cs="Times New Roman"/>
          <w:bCs/>
          <w:snapToGrid w:val="0"/>
          <w:kern w:val="0"/>
          <w:szCs w:val="21"/>
          <w:u w:val="single"/>
        </w:rPr>
        <w:t xml:space="preserve"> 202</w:t>
      </w:r>
      <w:r>
        <w:rPr>
          <w:rFonts w:hint="eastAsia" w:ascii="Times New Roman" w:hAnsi="Times New Roman" w:eastAsia="宋体" w:cs="Times New Roman"/>
          <w:bCs/>
          <w:snapToGrid w:val="0"/>
          <w:kern w:val="0"/>
          <w:szCs w:val="21"/>
          <w:u w:val="single"/>
        </w:rPr>
        <w:t xml:space="preserve">5 </w:t>
      </w:r>
      <w:r>
        <w:rPr>
          <w:rFonts w:hint="eastAsia" w:ascii="Times New Roman" w:hAnsi="Times New Roman" w:eastAsia="宋体" w:cs="Times New Roman"/>
          <w:bCs/>
          <w:snapToGrid w:val="0"/>
        </w:rPr>
        <w:t>年</w:t>
      </w:r>
      <w:r>
        <w:rPr>
          <w:rFonts w:hint="eastAsia" w:ascii="Times New Roman" w:hAnsi="Times New Roman" w:eastAsia="宋体" w:cs="Times New Roman"/>
          <w:bCs/>
          <w:snapToGrid w:val="0"/>
          <w:u w:val="single"/>
        </w:rPr>
        <w:t xml:space="preserve"> 12</w:t>
      </w:r>
      <w:r>
        <w:rPr>
          <w:rFonts w:hint="eastAsia"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 xml:space="preserve">4 </w:t>
      </w:r>
      <w:r>
        <w:rPr>
          <w:rFonts w:hint="eastAsia" w:ascii="Times New Roman" w:hAnsi="Times New Roman" w:eastAsia="宋体" w:cs="Times New Roman"/>
          <w:bCs/>
          <w:snapToGrid w:val="0"/>
        </w:rPr>
        <w:t>日</w:t>
      </w:r>
      <w:r>
        <w:rPr>
          <w:rFonts w:ascii="Times New Roman" w:hAnsi="Times New Roman" w:eastAsia="宋体" w:cs="Times New Roman"/>
          <w:bCs/>
          <w:snapToGrid w:val="0"/>
        </w:rPr>
        <w:t>(</w:t>
      </w:r>
      <w:r>
        <w:rPr>
          <w:rFonts w:hint="eastAsia" w:ascii="Times New Roman" w:hAnsi="Times New Roman" w:eastAsia="宋体" w:cs="Times New Roman"/>
          <w:bCs/>
          <w:snapToGrid w:val="0"/>
        </w:rPr>
        <w:t>北京时间</w:t>
      </w:r>
      <w:r>
        <w:rPr>
          <w:rFonts w:ascii="Times New Roman" w:hAnsi="Times New Roman" w:eastAsia="宋体" w:cs="Times New Roman"/>
          <w:bCs/>
          <w:snapToGrid w:val="0"/>
        </w:rPr>
        <w:t>)</w:t>
      </w:r>
    </w:p>
    <w:p w14:paraId="0F5811E4">
      <w:pPr>
        <w:widowControl/>
        <w:spacing w:line="500" w:lineRule="exact"/>
        <w:ind w:firstLine="420" w:firstLineChars="200"/>
        <w:jc w:val="left"/>
        <w:rPr>
          <w:rFonts w:ascii="Times New Roman" w:hAnsi="Times New Roman" w:eastAsia="宋体" w:cs="Times New Roman"/>
          <w:bCs/>
          <w:snapToGrid w:val="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rPr>
        <w:t>投标人登录合肥文旅博览集团有限公司网（http://www.zwzcgl.com）下载询价文件</w:t>
      </w:r>
    </w:p>
    <w:p w14:paraId="3BB7DE8F">
      <w:pPr>
        <w:widowControl/>
        <w:wordWrap w:val="0"/>
        <w:spacing w:line="500" w:lineRule="exact"/>
        <w:ind w:firstLine="420" w:firstLineChars="200"/>
        <w:jc w:val="left"/>
        <w:rPr>
          <w:rFonts w:ascii="Times New Roman" w:hAnsi="Times New Roman" w:cs="Times New Roman" w:eastAsiaTheme="majorEastAsia"/>
          <w:szCs w:val="21"/>
        </w:rPr>
      </w:pPr>
      <w:r>
        <w:rPr>
          <w:rFonts w:ascii="Times New Roman" w:hAnsi="Times New Roman" w:cs="Times New Roman" w:eastAsiaTheme="majorEastAsia"/>
          <w:szCs w:val="21"/>
        </w:rPr>
        <w:t>3.报名方法：投标人下载附件《投标报名信息表》并完整填写信息后在规定的报名日期内发送至邮箱：</w:t>
      </w:r>
      <w:r>
        <w:fldChar w:fldCharType="begin"/>
      </w:r>
      <w:r>
        <w:instrText xml:space="preserve"> HYPERLINK "mailto:1018862861@qq.com" </w:instrText>
      </w:r>
      <w:r>
        <w:fldChar w:fldCharType="separate"/>
      </w:r>
      <w:r>
        <w:rPr>
          <w:rStyle w:val="28"/>
          <w:rFonts w:hint="eastAsia" w:ascii="Times New Roman" w:hAnsi="Times New Roman" w:cs="Times New Roman" w:eastAsiaTheme="majorEastAsia"/>
          <w:szCs w:val="21"/>
        </w:rPr>
        <w:t>1018865861</w:t>
      </w:r>
      <w:r>
        <w:rPr>
          <w:rStyle w:val="28"/>
          <w:rFonts w:ascii="Times New Roman" w:hAnsi="Times New Roman" w:cs="Times New Roman" w:eastAsiaTheme="majorEastAsia"/>
          <w:szCs w:val="21"/>
        </w:rPr>
        <w:t>@qq.com</w:t>
      </w:r>
      <w:r>
        <w:rPr>
          <w:rStyle w:val="28"/>
          <w:rFonts w:ascii="Times New Roman" w:hAnsi="Times New Roman" w:cs="Times New Roman" w:eastAsiaTheme="majorEastAsia"/>
          <w:szCs w:val="21"/>
        </w:rPr>
        <w:fldChar w:fldCharType="end"/>
      </w:r>
    </w:p>
    <w:p w14:paraId="429EED14">
      <w:pPr>
        <w:spacing w:line="360" w:lineRule="auto"/>
        <w:rPr>
          <w:rFonts w:ascii="Times New Roman" w:hAnsi="Times New Roman" w:cs="Times New Roman"/>
          <w:b/>
          <w:bCs/>
          <w:sz w:val="24"/>
          <w:szCs w:val="18"/>
        </w:rPr>
      </w:pPr>
      <w:r>
        <w:rPr>
          <w:rFonts w:hint="eastAsia" w:ascii="Times New Roman" w:hAnsi="Times New Roman" w:cs="Times New Roman"/>
          <w:b/>
          <w:bCs/>
          <w:sz w:val="24"/>
          <w:szCs w:val="18"/>
        </w:rPr>
        <w:t>四</w:t>
      </w:r>
      <w:r>
        <w:rPr>
          <w:rFonts w:hint="eastAsia" w:ascii="Times New Roman" w:hAnsi="Times New Roman" w:cs="Times New Roman"/>
          <w:b/>
          <w:sz w:val="24"/>
        </w:rPr>
        <w:t>、</w:t>
      </w:r>
      <w:r>
        <w:rPr>
          <w:rFonts w:hint="eastAsia" w:ascii="Times New Roman" w:hAnsi="Times New Roman" w:cs="Times New Roman"/>
          <w:b/>
          <w:bCs/>
          <w:sz w:val="24"/>
          <w:szCs w:val="18"/>
        </w:rPr>
        <w:t>询价时间及地点</w:t>
      </w:r>
    </w:p>
    <w:p w14:paraId="5EB5FD13">
      <w:pPr>
        <w:spacing w:line="360" w:lineRule="auto"/>
        <w:ind w:firstLine="435"/>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b/>
          <w:szCs w:val="16"/>
        </w:rPr>
        <w:t>.</w:t>
      </w:r>
      <w:r>
        <w:rPr>
          <w:rFonts w:hint="eastAsia" w:ascii="Times New Roman" w:hAnsi="Times New Roman" w:cs="Times New Roman"/>
          <w:szCs w:val="15"/>
        </w:rPr>
        <w:t>询价时间：</w:t>
      </w:r>
      <w:r>
        <w:rPr>
          <w:rFonts w:ascii="Times New Roman" w:hAnsi="Times New Roman" w:eastAsia="宋体" w:cs="Times New Roman"/>
          <w:bCs/>
          <w:snapToGrid w:val="0"/>
          <w:kern w:val="0"/>
          <w:sz w:val="18"/>
          <w:szCs w:val="18"/>
          <w:u w:val="single"/>
        </w:rPr>
        <w:t xml:space="preserve">  202</w:t>
      </w:r>
      <w:r>
        <w:rPr>
          <w:rFonts w:hint="eastAsia" w:ascii="Times New Roman" w:hAnsi="Times New Roman" w:eastAsia="宋体" w:cs="Times New Roman"/>
          <w:bCs/>
          <w:snapToGrid w:val="0"/>
          <w:kern w:val="0"/>
          <w:sz w:val="18"/>
          <w:szCs w:val="18"/>
          <w:u w:val="single"/>
        </w:rPr>
        <w:t>5</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 xml:space="preserve"> 12   </w:t>
      </w:r>
      <w:r>
        <w:rPr>
          <w:rFonts w:hint="eastAsia" w:ascii="Times New Roman" w:hAnsi="Times New Roman" w:eastAsia="宋体" w:cs="Times New Roman"/>
          <w:bCs/>
          <w:snapToGrid w:val="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 xml:space="preserve"> 5</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sz w:val="18"/>
          <w:szCs w:val="16"/>
        </w:rPr>
        <w:t>日</w:t>
      </w:r>
      <w:r>
        <w:rPr>
          <w:rFonts w:ascii="Times New Roman" w:hAnsi="Times New Roman" w:eastAsia="宋体" w:cs="Times New Roman"/>
          <w:bCs/>
          <w:snapToGrid w:val="0"/>
          <w:kern w:val="0"/>
          <w:sz w:val="18"/>
          <w:szCs w:val="18"/>
          <w:u w:val="single"/>
        </w:rPr>
        <w:t xml:space="preserve"> 9 </w:t>
      </w:r>
      <w:r>
        <w:rPr>
          <w:rFonts w:ascii="Times New Roman" w:hAnsi="Times New Roman" w:cs="Times New Roman"/>
          <w:szCs w:val="15"/>
        </w:rPr>
        <w:t xml:space="preserve"> </w:t>
      </w:r>
      <w:r>
        <w:rPr>
          <w:rFonts w:hint="eastAsia" w:ascii="Times New Roman" w:hAnsi="Times New Roman" w:cs="Times New Roman"/>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rPr>
        <w:t>3</w:t>
      </w:r>
      <w:r>
        <w:rPr>
          <w:rFonts w:ascii="Times New Roman" w:hAnsi="Times New Roman" w:eastAsia="宋体" w:cs="Times New Roman"/>
          <w:bCs/>
          <w:snapToGrid w:val="0"/>
          <w:kern w:val="0"/>
          <w:sz w:val="18"/>
          <w:szCs w:val="18"/>
          <w:u w:val="single"/>
        </w:rPr>
        <w:t xml:space="preserve">0 </w:t>
      </w:r>
      <w:r>
        <w:rPr>
          <w:rFonts w:hint="eastAsia" w:ascii="Times New Roman" w:hAnsi="Times New Roman" w:cs="Times New Roman"/>
          <w:szCs w:val="15"/>
        </w:rPr>
        <w:t>分</w:t>
      </w:r>
    </w:p>
    <w:p w14:paraId="7F6686B8">
      <w:pPr>
        <w:spacing w:line="360" w:lineRule="auto"/>
        <w:ind w:firstLine="435"/>
        <w:rPr>
          <w:rFonts w:ascii="Times New Roman" w:hAnsi="Times New Roman" w:cs="Times New Roman"/>
          <w:szCs w:val="21"/>
          <w:u w:val="single"/>
        </w:rPr>
      </w:pPr>
      <w:r>
        <w:rPr>
          <w:rFonts w:ascii="Times New Roman" w:hAnsi="Times New Roman" w:cs="Times New Roman"/>
          <w:szCs w:val="15"/>
        </w:rPr>
        <w:t>2</w:t>
      </w:r>
      <w:r>
        <w:rPr>
          <w:rFonts w:ascii="Times New Roman" w:hAnsi="Times New Roman" w:cs="Times New Roman"/>
          <w:b/>
          <w:szCs w:val="16"/>
        </w:rPr>
        <w:t>.</w:t>
      </w:r>
      <w:r>
        <w:rPr>
          <w:rFonts w:hint="eastAsia" w:ascii="Times New Roman" w:hAnsi="Times New Roman" w:cs="Times New Roman"/>
          <w:szCs w:val="15"/>
        </w:rPr>
        <w:t>询价地点：</w:t>
      </w:r>
      <w:r>
        <w:rPr>
          <w:rFonts w:ascii="Times New Roman" w:hAnsi="Times New Roman" w:cs="Times New Roman"/>
          <w:szCs w:val="21"/>
          <w:u w:val="single"/>
        </w:rPr>
        <w:t xml:space="preserve"> </w:t>
      </w:r>
      <w:r>
        <w:rPr>
          <w:rFonts w:hint="eastAsia" w:ascii="宋体" w:hAnsi="宋体" w:cs="宋体"/>
          <w:kern w:val="0"/>
          <w:szCs w:val="21"/>
          <w:u w:val="single"/>
        </w:rPr>
        <w:t>合肥市汤池路与茗香路交口文渊府老售楼部二楼会议室</w:t>
      </w:r>
      <w:r>
        <w:rPr>
          <w:rFonts w:ascii="Times New Roman" w:hAnsi="Times New Roman" w:cs="Times New Roman"/>
          <w:szCs w:val="21"/>
          <w:u w:val="single"/>
        </w:rPr>
        <w:t xml:space="preserve"> </w:t>
      </w:r>
    </w:p>
    <w:p w14:paraId="5FA3E6F4">
      <w:pPr>
        <w:spacing w:line="360" w:lineRule="auto"/>
        <w:rPr>
          <w:rFonts w:ascii="Times New Roman" w:hAnsi="Times New Roman" w:cs="Times New Roman"/>
          <w:b/>
          <w:bCs/>
          <w:sz w:val="24"/>
          <w:szCs w:val="18"/>
        </w:rPr>
      </w:pPr>
      <w:r>
        <w:rPr>
          <w:rFonts w:hint="eastAsia" w:ascii="Times New Roman" w:hAnsi="Times New Roman" w:cs="Times New Roman"/>
          <w:b/>
          <w:bCs/>
          <w:sz w:val="24"/>
          <w:szCs w:val="18"/>
        </w:rPr>
        <w:t>五</w:t>
      </w:r>
      <w:r>
        <w:rPr>
          <w:rFonts w:hint="eastAsia" w:ascii="Times New Roman" w:hAnsi="Times New Roman" w:cs="Times New Roman"/>
          <w:b/>
          <w:sz w:val="24"/>
        </w:rPr>
        <w:t>、</w:t>
      </w:r>
      <w:r>
        <w:rPr>
          <w:rFonts w:hint="eastAsia" w:ascii="Times New Roman" w:hAnsi="Times New Roman" w:cs="Times New Roman"/>
          <w:b/>
          <w:bCs/>
          <w:sz w:val="24"/>
          <w:szCs w:val="18"/>
        </w:rPr>
        <w:t>投标文件提交截止时间</w:t>
      </w:r>
    </w:p>
    <w:p w14:paraId="3FEB3E2E">
      <w:pPr>
        <w:rPr>
          <w:rFonts w:ascii="Times New Roman" w:hAnsi="Times New Roman" w:cs="Times New Roman"/>
          <w:b/>
          <w:sz w:val="24"/>
          <w:szCs w:val="18"/>
        </w:rPr>
      </w:pPr>
      <w:r>
        <w:rPr>
          <w:rFonts w:ascii="Times New Roman" w:hAnsi="Times New Roman" w:eastAsia="宋体" w:cs="Times New Roman"/>
          <w:bCs/>
          <w:snapToGrid w:val="0"/>
          <w:kern w:val="0"/>
          <w:sz w:val="18"/>
          <w:szCs w:val="18"/>
        </w:rPr>
        <w:t xml:space="preserve">     202</w:t>
      </w:r>
      <w:r>
        <w:rPr>
          <w:rFonts w:hint="eastAsia" w:ascii="Times New Roman" w:hAnsi="Times New Roman" w:eastAsia="宋体" w:cs="Times New Roman"/>
          <w:bCs/>
          <w:snapToGrid w:val="0"/>
          <w:kern w:val="0"/>
          <w:sz w:val="18"/>
          <w:szCs w:val="18"/>
        </w:rPr>
        <w:t>5</w:t>
      </w:r>
      <w:r>
        <w:rPr>
          <w:rFonts w:ascii="Times New Roman" w:hAnsi="Times New Roman" w:eastAsia="宋体" w:cs="Times New Roman"/>
          <w:bCs/>
          <w:snapToGrid w:val="0"/>
          <w:kern w:val="0"/>
          <w:sz w:val="18"/>
          <w:szCs w:val="18"/>
        </w:rPr>
        <w:t xml:space="preserve"> </w:t>
      </w:r>
      <w:r>
        <w:rPr>
          <w:rFonts w:hint="eastAsia" w:ascii="Times New Roman" w:hAnsi="Times New Roman" w:eastAsia="宋体" w:cs="Times New Roman"/>
          <w:bCs/>
          <w:snapToGrid w:val="0"/>
          <w:sz w:val="18"/>
          <w:szCs w:val="16"/>
        </w:rPr>
        <w:t>年</w:t>
      </w:r>
      <w:r>
        <w:rPr>
          <w:rFonts w:ascii="Times New Roman" w:hAnsi="Times New Roman" w:eastAsia="宋体" w:cs="Times New Roman"/>
          <w:bCs/>
          <w:snapToGrid w:val="0"/>
          <w:kern w:val="0"/>
          <w:sz w:val="18"/>
          <w:szCs w:val="18"/>
        </w:rPr>
        <w:t xml:space="preserve"> </w:t>
      </w:r>
      <w:r>
        <w:rPr>
          <w:rFonts w:hint="eastAsia" w:ascii="Times New Roman" w:hAnsi="Times New Roman" w:eastAsia="宋体" w:cs="Times New Roman"/>
          <w:bCs/>
          <w:snapToGrid w:val="0"/>
          <w:kern w:val="0"/>
          <w:sz w:val="18"/>
          <w:szCs w:val="18"/>
        </w:rPr>
        <w:t xml:space="preserve">12 </w:t>
      </w:r>
      <w:r>
        <w:rPr>
          <w:rFonts w:ascii="Times New Roman" w:hAnsi="Times New Roman" w:eastAsia="宋体" w:cs="Times New Roman"/>
          <w:bCs/>
          <w:snapToGrid w:val="0"/>
          <w:kern w:val="0"/>
          <w:sz w:val="18"/>
          <w:szCs w:val="18"/>
        </w:rPr>
        <w:t xml:space="preserve"> </w:t>
      </w:r>
      <w:r>
        <w:rPr>
          <w:rFonts w:hint="eastAsia" w:ascii="Times New Roman" w:hAnsi="Times New Roman" w:eastAsia="宋体" w:cs="Times New Roman"/>
          <w:bCs/>
          <w:snapToGrid w:val="0"/>
          <w:sz w:val="18"/>
          <w:szCs w:val="16"/>
        </w:rPr>
        <w:t>月</w:t>
      </w:r>
      <w:r>
        <w:rPr>
          <w:rFonts w:ascii="Times New Roman" w:hAnsi="Times New Roman" w:eastAsia="宋体" w:cs="Times New Roman"/>
          <w:bCs/>
          <w:snapToGrid w:val="0"/>
          <w:kern w:val="0"/>
          <w:sz w:val="18"/>
          <w:szCs w:val="18"/>
        </w:rPr>
        <w:t xml:space="preserve"> </w:t>
      </w:r>
      <w:r>
        <w:rPr>
          <w:rFonts w:hint="eastAsia" w:ascii="Times New Roman" w:hAnsi="Times New Roman" w:eastAsia="宋体" w:cs="Times New Roman"/>
          <w:bCs/>
          <w:snapToGrid w:val="0"/>
          <w:kern w:val="0"/>
          <w:sz w:val="18"/>
          <w:szCs w:val="18"/>
        </w:rPr>
        <w:t xml:space="preserve">5  </w:t>
      </w:r>
      <w:r>
        <w:rPr>
          <w:rFonts w:hint="eastAsia" w:ascii="Times New Roman" w:hAnsi="Times New Roman" w:eastAsia="宋体" w:cs="Times New Roman"/>
          <w:bCs/>
          <w:snapToGrid w:val="0"/>
          <w:sz w:val="18"/>
          <w:szCs w:val="16"/>
        </w:rPr>
        <w:t>日</w:t>
      </w:r>
      <w:r>
        <w:rPr>
          <w:rFonts w:ascii="Times New Roman" w:hAnsi="Times New Roman" w:eastAsia="宋体" w:cs="Times New Roman"/>
          <w:bCs/>
          <w:snapToGrid w:val="0"/>
          <w:kern w:val="0"/>
          <w:sz w:val="18"/>
          <w:szCs w:val="18"/>
        </w:rPr>
        <w:t xml:space="preserve"> </w:t>
      </w:r>
      <w:r>
        <w:rPr>
          <w:rFonts w:hint="eastAsia" w:ascii="Times New Roman" w:hAnsi="Times New Roman" w:eastAsia="宋体" w:cs="Times New Roman"/>
          <w:bCs/>
          <w:snapToGrid w:val="0"/>
          <w:kern w:val="0"/>
          <w:sz w:val="18"/>
          <w:szCs w:val="18"/>
        </w:rPr>
        <w:t xml:space="preserve"> </w:t>
      </w:r>
      <w:r>
        <w:rPr>
          <w:rFonts w:ascii="Times New Roman" w:hAnsi="Times New Roman" w:eastAsia="宋体" w:cs="Times New Roman"/>
          <w:bCs/>
          <w:snapToGrid w:val="0"/>
          <w:kern w:val="0"/>
          <w:sz w:val="18"/>
          <w:szCs w:val="18"/>
        </w:rPr>
        <w:t xml:space="preserve">9 </w:t>
      </w:r>
      <w:r>
        <w:rPr>
          <w:rFonts w:ascii="Times New Roman" w:hAnsi="Times New Roman" w:cs="Times New Roman"/>
          <w:szCs w:val="15"/>
        </w:rPr>
        <w:t xml:space="preserve"> </w:t>
      </w:r>
      <w:r>
        <w:rPr>
          <w:rFonts w:hint="eastAsia" w:ascii="Times New Roman" w:hAnsi="Times New Roman" w:cs="Times New Roman"/>
          <w:szCs w:val="15"/>
        </w:rPr>
        <w:t>时</w:t>
      </w:r>
      <w:r>
        <w:rPr>
          <w:rFonts w:ascii="Times New Roman" w:hAnsi="Times New Roman" w:eastAsia="宋体" w:cs="Times New Roman"/>
          <w:bCs/>
          <w:snapToGrid w:val="0"/>
          <w:kern w:val="0"/>
          <w:sz w:val="18"/>
          <w:szCs w:val="18"/>
        </w:rPr>
        <w:t xml:space="preserve"> </w:t>
      </w:r>
      <w:r>
        <w:rPr>
          <w:rFonts w:hint="eastAsia" w:ascii="Times New Roman" w:hAnsi="Times New Roman" w:eastAsia="宋体" w:cs="Times New Roman"/>
          <w:bCs/>
          <w:snapToGrid w:val="0"/>
          <w:kern w:val="0"/>
          <w:sz w:val="18"/>
          <w:szCs w:val="18"/>
        </w:rPr>
        <w:t>3</w:t>
      </w:r>
      <w:r>
        <w:rPr>
          <w:rFonts w:ascii="Times New Roman" w:hAnsi="Times New Roman" w:eastAsia="宋体" w:cs="Times New Roman"/>
          <w:bCs/>
          <w:snapToGrid w:val="0"/>
          <w:kern w:val="0"/>
          <w:sz w:val="18"/>
          <w:szCs w:val="18"/>
        </w:rPr>
        <w:t xml:space="preserve">0 </w:t>
      </w:r>
      <w:r>
        <w:rPr>
          <w:rFonts w:hint="eastAsia" w:ascii="Times New Roman" w:hAnsi="Times New Roman" w:cs="Times New Roman"/>
          <w:szCs w:val="15"/>
        </w:rPr>
        <w:t>分</w:t>
      </w:r>
    </w:p>
    <w:p w14:paraId="71EC1EE2">
      <w:pPr>
        <w:spacing w:line="360" w:lineRule="auto"/>
        <w:rPr>
          <w:rFonts w:ascii="Times New Roman" w:hAnsi="Times New Roman" w:cs="Times New Roman"/>
          <w:b/>
          <w:bCs/>
          <w:sz w:val="24"/>
          <w:szCs w:val="18"/>
        </w:rPr>
      </w:pPr>
      <w:r>
        <w:rPr>
          <w:rFonts w:hint="eastAsia" w:ascii="Times New Roman" w:hAnsi="Times New Roman" w:cs="Times New Roman"/>
          <w:b/>
          <w:sz w:val="24"/>
          <w:szCs w:val="18"/>
        </w:rPr>
        <w:t>六</w:t>
      </w:r>
      <w:r>
        <w:rPr>
          <w:rFonts w:hint="eastAsia" w:ascii="Times New Roman" w:hAnsi="Times New Roman" w:cs="Times New Roman"/>
          <w:b/>
          <w:sz w:val="24"/>
        </w:rPr>
        <w:t>、</w:t>
      </w:r>
      <w:r>
        <w:rPr>
          <w:rFonts w:hint="eastAsia" w:ascii="Times New Roman" w:hAnsi="Times New Roman" w:cs="Times New Roman"/>
          <w:b/>
          <w:bCs/>
          <w:sz w:val="24"/>
          <w:szCs w:val="18"/>
        </w:rPr>
        <w:t>联系方式</w:t>
      </w:r>
    </w:p>
    <w:p w14:paraId="56DD6659">
      <w:pPr>
        <w:spacing w:line="360" w:lineRule="auto"/>
        <w:ind w:firstLine="435"/>
        <w:rPr>
          <w:rFonts w:ascii="Times New Roman" w:hAnsi="Times New Roman" w:cs="Times New Roman"/>
          <w:szCs w:val="15"/>
        </w:rPr>
      </w:pPr>
      <w:r>
        <w:rPr>
          <w:rFonts w:ascii="Times New Roman" w:hAnsi="Times New Roman" w:cs="Times New Roman"/>
          <w:szCs w:val="15"/>
        </w:rPr>
        <w:t>1.</w:t>
      </w:r>
      <w:r>
        <w:rPr>
          <w:rFonts w:hint="eastAsia" w:ascii="Times New Roman" w:hAnsi="Times New Roman" w:cs="Times New Roman"/>
          <w:szCs w:val="15"/>
        </w:rPr>
        <w:t>招标人</w:t>
      </w:r>
    </w:p>
    <w:p w14:paraId="5D016122">
      <w:pPr>
        <w:spacing w:line="360" w:lineRule="auto"/>
        <w:ind w:firstLine="435"/>
        <w:rPr>
          <w:rFonts w:ascii="宋体" w:hAnsi="宋体" w:cs="宋体"/>
          <w:kern w:val="0"/>
          <w:sz w:val="24"/>
          <w:u w:val="single"/>
        </w:rPr>
      </w:pPr>
      <w:r>
        <w:rPr>
          <w:rFonts w:hint="eastAsia" w:ascii="Times New Roman" w:hAnsi="Times New Roman" w:cs="Times New Roman"/>
          <w:szCs w:val="15"/>
        </w:rPr>
        <w:t>招标人：</w:t>
      </w:r>
      <w:r>
        <w:rPr>
          <w:rFonts w:hint="eastAsia" w:ascii="Times New Roman" w:hAnsi="Times New Roman" w:cs="Times New Roman"/>
          <w:szCs w:val="21"/>
          <w:u w:val="single"/>
        </w:rPr>
        <w:t>合肥经纬资产经营管理有限公司</w:t>
      </w:r>
    </w:p>
    <w:p w14:paraId="4A7892CB">
      <w:pPr>
        <w:spacing w:line="360" w:lineRule="auto"/>
        <w:ind w:firstLine="435"/>
        <w:rPr>
          <w:rFonts w:hint="eastAsia" w:ascii="宋体" w:hAnsi="宋体" w:cs="宋体"/>
          <w:color w:val="000000" w:themeColor="text1"/>
          <w:kern w:val="0"/>
          <w:szCs w:val="21"/>
          <w:u w:val="single"/>
          <w14:textFill>
            <w14:solidFill>
              <w14:schemeClr w14:val="tx1"/>
            </w14:solidFill>
          </w14:textFill>
        </w:rPr>
      </w:pPr>
      <w:r>
        <w:rPr>
          <w:rFonts w:hint="eastAsia" w:ascii="Times New Roman" w:hAnsi="Times New Roman" w:cs="Times New Roman"/>
          <w:szCs w:val="15"/>
        </w:rPr>
        <w:t>地</w:t>
      </w:r>
      <w:r>
        <w:rPr>
          <w:rFonts w:ascii="Times New Roman" w:hAnsi="Times New Roman" w:cs="Times New Roman"/>
          <w:szCs w:val="15"/>
        </w:rPr>
        <w:t xml:space="preserve">  </w:t>
      </w:r>
      <w:r>
        <w:rPr>
          <w:rFonts w:hint="eastAsia" w:ascii="Times New Roman" w:hAnsi="Times New Roman" w:cs="Times New Roman"/>
          <w:szCs w:val="15"/>
        </w:rPr>
        <w:t>址：</w:t>
      </w:r>
      <w:r>
        <w:rPr>
          <w:rFonts w:ascii="Times New Roman" w:hAnsi="Times New Roman" w:cs="Times New Roman"/>
          <w:szCs w:val="15"/>
          <w:u w:val="single"/>
        </w:rPr>
        <w:t xml:space="preserve"> </w:t>
      </w:r>
      <w:r>
        <w:rPr>
          <w:rFonts w:hint="eastAsia" w:ascii="宋体" w:hAnsi="宋体" w:cs="宋体"/>
          <w:kern w:val="0"/>
          <w:szCs w:val="21"/>
          <w:u w:val="single"/>
        </w:rPr>
        <w:t>合肥市汤池路与茗香路交口文渊府</w:t>
      </w:r>
      <w:r>
        <w:rPr>
          <w:rFonts w:hint="eastAsia" w:ascii="宋体" w:hAnsi="宋体" w:cs="宋体"/>
          <w:color w:val="000000" w:themeColor="text1"/>
          <w:kern w:val="0"/>
          <w:szCs w:val="21"/>
          <w:u w:val="single"/>
          <w14:textFill>
            <w14:solidFill>
              <w14:schemeClr w14:val="tx1"/>
            </w14:solidFill>
          </w14:textFill>
        </w:rPr>
        <w:t>老售楼部</w:t>
      </w:r>
    </w:p>
    <w:p w14:paraId="4AEB73EB">
      <w:pPr>
        <w:spacing w:line="360" w:lineRule="auto"/>
        <w:ind w:firstLine="435"/>
        <w:rPr>
          <w:rFonts w:ascii="Times New Roman" w:hAnsi="Times New Roman" w:cs="Times New Roman"/>
          <w:szCs w:val="15"/>
        </w:rPr>
      </w:pPr>
      <w:r>
        <w:rPr>
          <w:rFonts w:hint="eastAsia" w:ascii="Times New Roman" w:hAnsi="Times New Roman" w:cs="Times New Roman"/>
          <w:szCs w:val="15"/>
        </w:rPr>
        <w:t>项目联系人：</w:t>
      </w:r>
      <w:r>
        <w:rPr>
          <w:rFonts w:ascii="Times New Roman" w:hAnsi="Times New Roman" w:cs="Times New Roman"/>
          <w:szCs w:val="15"/>
          <w:u w:val="single"/>
        </w:rPr>
        <w:t xml:space="preserve"> </w:t>
      </w:r>
      <w:r>
        <w:rPr>
          <w:rFonts w:hint="eastAsia" w:ascii="Times New Roman" w:hAnsi="Times New Roman" w:cs="Times New Roman"/>
          <w:szCs w:val="15"/>
          <w:u w:val="single"/>
        </w:rPr>
        <w:t>王工</w:t>
      </w:r>
      <w:r>
        <w:rPr>
          <w:rFonts w:ascii="Times New Roman" w:hAnsi="Times New Roman" w:cs="Times New Roman"/>
          <w:szCs w:val="15"/>
          <w:u w:val="single"/>
        </w:rPr>
        <w:t xml:space="preserve"> </w:t>
      </w:r>
    </w:p>
    <w:p w14:paraId="0FA1184F">
      <w:pPr>
        <w:spacing w:line="360" w:lineRule="auto"/>
        <w:ind w:firstLine="435"/>
        <w:rPr>
          <w:rFonts w:ascii="Times New Roman" w:hAnsi="Times New Roman" w:cs="Times New Roman"/>
          <w:szCs w:val="15"/>
        </w:rPr>
      </w:pPr>
      <w:r>
        <w:rPr>
          <w:rFonts w:hint="eastAsia" w:ascii="Times New Roman" w:hAnsi="Times New Roman" w:cs="Times New Roman"/>
          <w:szCs w:val="15"/>
        </w:rPr>
        <w:t>电</w:t>
      </w:r>
      <w:r>
        <w:rPr>
          <w:rFonts w:ascii="Times New Roman" w:hAnsi="Times New Roman" w:cs="Times New Roman"/>
          <w:szCs w:val="15"/>
        </w:rPr>
        <w:t xml:space="preserve">  </w:t>
      </w:r>
      <w:r>
        <w:rPr>
          <w:rFonts w:hint="eastAsia" w:ascii="Times New Roman" w:hAnsi="Times New Roman" w:cs="Times New Roman"/>
          <w:szCs w:val="15"/>
        </w:rPr>
        <w:t>话：</w:t>
      </w:r>
      <w:r>
        <w:rPr>
          <w:rFonts w:ascii="Times New Roman" w:hAnsi="Times New Roman" w:cs="Times New Roman"/>
          <w:szCs w:val="15"/>
          <w:u w:val="single"/>
        </w:rPr>
        <w:t xml:space="preserve"> 0551-63530270</w:t>
      </w:r>
    </w:p>
    <w:p w14:paraId="7F39D94C">
      <w:pPr>
        <w:spacing w:line="360" w:lineRule="auto"/>
        <w:ind w:firstLine="435"/>
        <w:rPr>
          <w:rFonts w:ascii="Times New Roman" w:hAnsi="Times New Roman" w:cs="Times New Roman"/>
          <w:b/>
          <w:szCs w:val="15"/>
        </w:rPr>
      </w:pPr>
      <w:r>
        <w:rPr>
          <w:rFonts w:ascii="Times New Roman" w:hAnsi="Times New Roman" w:cs="Times New Roman"/>
          <w:szCs w:val="15"/>
        </w:rPr>
        <w:t>2</w:t>
      </w:r>
      <w:r>
        <w:rPr>
          <w:rFonts w:ascii="Times New Roman" w:hAnsi="Times New Roman" w:cs="Times New Roman"/>
          <w:b/>
          <w:szCs w:val="15"/>
        </w:rPr>
        <w:t>.</w:t>
      </w:r>
      <w:r>
        <w:rPr>
          <w:rFonts w:hint="eastAsia" w:ascii="Times New Roman" w:hAnsi="Times New Roman" w:cs="Times New Roman"/>
          <w:szCs w:val="15"/>
        </w:rPr>
        <w:t>监督管理部门</w:t>
      </w:r>
    </w:p>
    <w:p w14:paraId="7889E5F1">
      <w:pPr>
        <w:widowControl/>
        <w:spacing w:line="500" w:lineRule="exact"/>
        <w:ind w:firstLine="420" w:firstLineChars="200"/>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监督管理部门：</w:t>
      </w:r>
      <w:r>
        <w:rPr>
          <w:rFonts w:ascii="Times New Roman" w:hAnsi="Times New Roman" w:cs="Times New Roman"/>
          <w:szCs w:val="15"/>
          <w:u w:val="single"/>
        </w:rPr>
        <w:t xml:space="preserve"> </w:t>
      </w:r>
      <w:r>
        <w:rPr>
          <w:rFonts w:hint="eastAsia" w:ascii="Times New Roman" w:hAnsi="Times New Roman" w:cs="Times New Roman"/>
          <w:szCs w:val="21"/>
          <w:u w:val="single"/>
        </w:rPr>
        <w:t>合肥经纬资产经营管理有限公司党支部纪检委员</w:t>
      </w:r>
      <w:r>
        <w:rPr>
          <w:rFonts w:ascii="Times New Roman" w:hAnsi="Times New Roman" w:cs="Times New Roman"/>
          <w:szCs w:val="15"/>
          <w:u w:val="single"/>
        </w:rPr>
        <w:t xml:space="preserve"> </w:t>
      </w:r>
    </w:p>
    <w:p w14:paraId="3B849181">
      <w:pPr>
        <w:widowControl/>
        <w:spacing w:line="500" w:lineRule="exact"/>
        <w:ind w:firstLine="420" w:firstLineChars="200"/>
        <w:jc w:val="left"/>
        <w:rPr>
          <w:rFonts w:hint="eastAsia" w:ascii="宋体" w:hAnsi="宋体" w:cs="宋体"/>
          <w:kern w:val="0"/>
          <w:szCs w:val="21"/>
          <w:u w:val="single"/>
        </w:rPr>
      </w:pPr>
      <w:r>
        <w:rPr>
          <w:rFonts w:hint="eastAsia" w:ascii="Times New Roman" w:hAnsi="Times New Roman" w:eastAsia="宋体" w:cs="Times New Roman"/>
          <w:bCs/>
          <w:snapToGrid w:val="0"/>
          <w:kern w:val="0"/>
          <w:szCs w:val="21"/>
        </w:rPr>
        <w:t>地</w:t>
      </w:r>
      <w:r>
        <w:rPr>
          <w:rFonts w:ascii="Times New Roman" w:hAnsi="Times New Roman" w:eastAsia="宋体" w:cs="Times New Roman"/>
          <w:bCs/>
          <w:snapToGrid w:val="0"/>
          <w:kern w:val="0"/>
          <w:szCs w:val="21"/>
        </w:rPr>
        <w:t xml:space="preserve">  </w:t>
      </w:r>
      <w:r>
        <w:rPr>
          <w:rFonts w:hint="eastAsia" w:ascii="Times New Roman" w:hAnsi="Times New Roman" w:eastAsia="宋体" w:cs="Times New Roman"/>
          <w:bCs/>
          <w:snapToGrid w:val="0"/>
          <w:kern w:val="0"/>
          <w:szCs w:val="21"/>
        </w:rPr>
        <w:t>址：</w:t>
      </w:r>
      <w:r>
        <w:rPr>
          <w:rFonts w:ascii="Times New Roman" w:hAnsi="Times New Roman" w:cs="Times New Roman"/>
          <w:szCs w:val="15"/>
          <w:u w:val="single"/>
        </w:rPr>
        <w:t xml:space="preserve"> </w:t>
      </w:r>
      <w:r>
        <w:rPr>
          <w:rFonts w:hint="eastAsia" w:ascii="宋体" w:hAnsi="宋体" w:cs="宋体"/>
          <w:kern w:val="0"/>
          <w:szCs w:val="21"/>
          <w:u w:val="single"/>
        </w:rPr>
        <w:t>合肥市汤池路与茗香路交口文渊府老售楼部</w:t>
      </w:r>
    </w:p>
    <w:p w14:paraId="6A079055">
      <w:pPr>
        <w:widowControl/>
        <w:spacing w:line="500" w:lineRule="exact"/>
        <w:ind w:firstLine="420" w:firstLineChars="200"/>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电</w:t>
      </w:r>
      <w:r>
        <w:rPr>
          <w:rFonts w:ascii="Times New Roman" w:hAnsi="Times New Roman" w:eastAsia="宋体" w:cs="Times New Roman"/>
          <w:bCs/>
          <w:snapToGrid w:val="0"/>
          <w:kern w:val="0"/>
          <w:szCs w:val="21"/>
        </w:rPr>
        <w:t xml:space="preserve">  </w:t>
      </w:r>
      <w:r>
        <w:rPr>
          <w:rFonts w:hint="eastAsia" w:ascii="Times New Roman" w:hAnsi="Times New Roman" w:eastAsia="宋体" w:cs="Times New Roman"/>
          <w:bCs/>
          <w:snapToGrid w:val="0"/>
          <w:kern w:val="0"/>
          <w:szCs w:val="21"/>
        </w:rPr>
        <w:t>话：</w:t>
      </w:r>
      <w:r>
        <w:rPr>
          <w:rFonts w:ascii="Times New Roman" w:hAnsi="Times New Roman" w:cs="Times New Roman"/>
          <w:szCs w:val="15"/>
          <w:u w:val="single"/>
        </w:rPr>
        <w:t xml:space="preserve"> </w:t>
      </w:r>
      <w:r>
        <w:rPr>
          <w:rFonts w:hint="eastAsia" w:ascii="宋体" w:hAnsi="宋体" w:eastAsia="宋体" w:cs="Times New Roman"/>
          <w:bCs/>
          <w:szCs w:val="21"/>
          <w:u w:val="single"/>
          <w:lang w:bidi="ar"/>
        </w:rPr>
        <w:t>0551-63530731</w:t>
      </w:r>
      <w:r>
        <w:rPr>
          <w:rFonts w:ascii="Times New Roman" w:hAnsi="Times New Roman" w:cs="Times New Roman"/>
          <w:szCs w:val="21"/>
          <w:u w:val="single"/>
        </w:rPr>
        <w:t xml:space="preserve"> </w:t>
      </w:r>
      <w:bookmarkStart w:id="20" w:name="_GoBack"/>
      <w:bookmarkEnd w:id="20"/>
    </w:p>
    <w:p w14:paraId="3EB04317">
      <w:pPr>
        <w:spacing w:line="360" w:lineRule="auto"/>
        <w:ind w:firstLine="435"/>
        <w:rPr>
          <w:rFonts w:ascii="Times New Roman" w:hAnsi="Times New Roman" w:cs="Times New Roman"/>
          <w:b/>
          <w:sz w:val="24"/>
          <w:szCs w:val="18"/>
        </w:rPr>
      </w:pPr>
      <w:r>
        <w:rPr>
          <w:rFonts w:hint="eastAsia" w:ascii="Times New Roman" w:hAnsi="Times New Roman" w:cs="Times New Roman"/>
          <w:b/>
          <w:sz w:val="24"/>
          <w:szCs w:val="18"/>
        </w:rPr>
        <w:t>七</w:t>
      </w:r>
      <w:r>
        <w:rPr>
          <w:rFonts w:hint="eastAsia" w:ascii="Times New Roman" w:hAnsi="Times New Roman" w:cs="Times New Roman"/>
          <w:b/>
          <w:sz w:val="24"/>
        </w:rPr>
        <w:t>、</w:t>
      </w:r>
      <w:r>
        <w:rPr>
          <w:rFonts w:hint="eastAsia" w:ascii="Times New Roman" w:hAnsi="Times New Roman" w:cs="Times New Roman"/>
          <w:b/>
          <w:sz w:val="24"/>
          <w:szCs w:val="18"/>
        </w:rPr>
        <w:t>其他事项说明</w:t>
      </w:r>
    </w:p>
    <w:p w14:paraId="30D267D4">
      <w:pPr>
        <w:widowControl/>
        <w:spacing w:line="500" w:lineRule="exact"/>
        <w:ind w:firstLine="420" w:firstLineChars="200"/>
        <w:jc w:val="left"/>
        <w:rPr>
          <w:rFonts w:ascii="Times New Roman" w:hAnsi="Times New Roman" w:eastAsia="宋体" w:cs="Times New Roman"/>
          <w:bCs/>
          <w:snapToGrid w:val="0"/>
          <w:kern w:val="0"/>
          <w:szCs w:val="21"/>
        </w:rPr>
      </w:pPr>
      <w:r>
        <w:rPr>
          <w:rFonts w:hint="eastAsia" w:ascii="Times New Roman" w:hAnsi="Times New Roman" w:eastAsia="宋体" w:cs="Times New Roman"/>
          <w:bCs/>
          <w:snapToGrid w:val="0"/>
          <w:kern w:val="0"/>
          <w:szCs w:val="21"/>
        </w:rPr>
        <w:t>有任何疑问或问题，请在工作时间（周一至周五，上午</w:t>
      </w:r>
      <w:r>
        <w:rPr>
          <w:rFonts w:ascii="Times New Roman" w:hAnsi="Times New Roman" w:eastAsia="宋体" w:cs="Times New Roman"/>
          <w:bCs/>
          <w:snapToGrid w:val="0"/>
          <w:kern w:val="0"/>
          <w:szCs w:val="21"/>
        </w:rPr>
        <w:t>08:</w:t>
      </w:r>
      <w:r>
        <w:rPr>
          <w:rFonts w:hint="eastAsia" w:ascii="Times New Roman" w:hAnsi="Times New Roman" w:eastAsia="宋体" w:cs="Times New Roman"/>
          <w:bCs/>
          <w:snapToGrid w:val="0"/>
          <w:kern w:val="0"/>
          <w:szCs w:val="21"/>
        </w:rPr>
        <w:t>3</w:t>
      </w:r>
      <w:r>
        <w:rPr>
          <w:rFonts w:ascii="Times New Roman" w:hAnsi="Times New Roman" w:eastAsia="宋体" w:cs="Times New Roman"/>
          <w:bCs/>
          <w:snapToGrid w:val="0"/>
          <w:kern w:val="0"/>
          <w:szCs w:val="21"/>
        </w:rPr>
        <w:t>0-12:00</w:t>
      </w:r>
      <w:r>
        <w:rPr>
          <w:rFonts w:hint="eastAsia" w:ascii="Times New Roman" w:hAnsi="Times New Roman" w:eastAsia="宋体" w:cs="Times New Roman"/>
          <w:bCs/>
          <w:snapToGrid w:val="0"/>
          <w:kern w:val="0"/>
          <w:szCs w:val="21"/>
        </w:rPr>
        <w:t>，下午</w:t>
      </w:r>
      <w:r>
        <w:rPr>
          <w:rFonts w:ascii="Times New Roman" w:hAnsi="Times New Roman" w:eastAsia="宋体" w:cs="Times New Roman"/>
          <w:bCs/>
          <w:snapToGrid w:val="0"/>
          <w:kern w:val="0"/>
          <w:szCs w:val="21"/>
        </w:rPr>
        <w:t>2:</w:t>
      </w:r>
      <w:r>
        <w:rPr>
          <w:rFonts w:hint="eastAsia" w:ascii="Times New Roman" w:hAnsi="Times New Roman" w:eastAsia="宋体" w:cs="Times New Roman"/>
          <w:bCs/>
          <w:snapToGrid w:val="0"/>
          <w:kern w:val="0"/>
          <w:szCs w:val="21"/>
        </w:rPr>
        <w:t>00</w:t>
      </w:r>
      <w:r>
        <w:rPr>
          <w:rFonts w:ascii="Times New Roman" w:hAnsi="Times New Roman" w:eastAsia="宋体" w:cs="Times New Roman"/>
          <w:bCs/>
          <w:snapToGrid w:val="0"/>
          <w:kern w:val="0"/>
          <w:szCs w:val="21"/>
        </w:rPr>
        <w:t>-5:30</w:t>
      </w:r>
      <w:r>
        <w:rPr>
          <w:rFonts w:hint="eastAsia" w:ascii="Times New Roman" w:hAnsi="Times New Roman" w:eastAsia="宋体" w:cs="Times New Roman"/>
          <w:bCs/>
          <w:snapToGrid w:val="0"/>
          <w:kern w:val="0"/>
          <w:szCs w:val="21"/>
        </w:rPr>
        <w:t>，节假日休息）与项目联系人联系。</w:t>
      </w:r>
    </w:p>
    <w:p w14:paraId="7AA90CC9">
      <w:pPr>
        <w:spacing w:line="360" w:lineRule="auto"/>
        <w:ind w:firstLine="435"/>
        <w:rPr>
          <w:rFonts w:ascii="Times New Roman" w:hAnsi="Times New Roman" w:cs="Times New Roman"/>
          <w:sz w:val="24"/>
          <w:szCs w:val="18"/>
        </w:rPr>
      </w:pPr>
    </w:p>
    <w:p w14:paraId="0188EECE">
      <w:pPr>
        <w:spacing w:line="360" w:lineRule="auto"/>
        <w:ind w:firstLine="435"/>
        <w:rPr>
          <w:rFonts w:ascii="Times New Roman" w:hAnsi="Times New Roman" w:cs="Times New Roman"/>
          <w:sz w:val="24"/>
          <w:szCs w:val="18"/>
        </w:rPr>
      </w:pPr>
    </w:p>
    <w:p w14:paraId="371CBE6D">
      <w:pPr>
        <w:widowControl/>
        <w:jc w:val="left"/>
        <w:rPr>
          <w:rFonts w:ascii="Times New Roman" w:hAnsi="Times New Roman" w:cs="Times New Roman"/>
          <w:sz w:val="24"/>
          <w:szCs w:val="18"/>
        </w:rPr>
      </w:pPr>
      <w:r>
        <w:rPr>
          <w:rFonts w:ascii="Times New Roman" w:hAnsi="Times New Roman" w:cs="Times New Roman"/>
          <w:sz w:val="24"/>
          <w:szCs w:val="18"/>
        </w:rPr>
        <w:br w:type="page"/>
      </w:r>
    </w:p>
    <w:p w14:paraId="1DA31B9E">
      <w:pPr>
        <w:spacing w:line="360" w:lineRule="auto"/>
        <w:jc w:val="center"/>
        <w:outlineLvl w:val="1"/>
        <w:rPr>
          <w:rFonts w:ascii="Times New Roman" w:hAnsi="Times New Roman" w:cs="Times New Roman"/>
          <w:b/>
          <w:sz w:val="28"/>
        </w:rPr>
      </w:pPr>
      <w:bookmarkStart w:id="3" w:name="_Toc22742"/>
      <w:r>
        <w:rPr>
          <w:rFonts w:ascii="Times New Roman" w:hAnsi="Times New Roman" w:cs="Times New Roman"/>
          <w:b/>
          <w:sz w:val="28"/>
        </w:rPr>
        <w:t>第二章  投标人须知</w:t>
      </w:r>
      <w:bookmarkEnd w:id="3"/>
    </w:p>
    <w:p w14:paraId="039016FA">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14:paraId="635E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416B533">
            <w:pPr>
              <w:pStyle w:val="32"/>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072" w:type="pct"/>
            <w:vAlign w:val="center"/>
          </w:tcPr>
          <w:p w14:paraId="5DB3B5FF">
            <w:pPr>
              <w:pStyle w:val="32"/>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350" w:type="pct"/>
            <w:vAlign w:val="center"/>
          </w:tcPr>
          <w:p w14:paraId="22881995">
            <w:pPr>
              <w:pStyle w:val="32"/>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69A5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F7F68B7">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072" w:type="pct"/>
            <w:vAlign w:val="center"/>
          </w:tcPr>
          <w:p w14:paraId="11E919D9">
            <w:pPr>
              <w:pStyle w:val="32"/>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350" w:type="pct"/>
            <w:vAlign w:val="center"/>
          </w:tcPr>
          <w:p w14:paraId="083154AE">
            <w:pPr>
              <w:pStyle w:val="32"/>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14:paraId="1A14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38A9858">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072" w:type="pct"/>
            <w:vAlign w:val="center"/>
          </w:tcPr>
          <w:p w14:paraId="0F840E50">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350" w:type="pct"/>
            <w:vAlign w:val="center"/>
          </w:tcPr>
          <w:p w14:paraId="06617043">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90 </w:t>
            </w:r>
            <w:r>
              <w:rPr>
                <w:rFonts w:ascii="Times New Roman" w:hAnsi="Times New Roman" w:cs="Times New Roman"/>
                <w:b w:val="0"/>
                <w:sz w:val="21"/>
                <w:szCs w:val="21"/>
              </w:rPr>
              <w:t>日历日</w:t>
            </w:r>
          </w:p>
        </w:tc>
      </w:tr>
      <w:tr w14:paraId="0C17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F960631">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072" w:type="pct"/>
            <w:vAlign w:val="center"/>
          </w:tcPr>
          <w:p w14:paraId="1AB46B96">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投标文件要求</w:t>
            </w:r>
          </w:p>
        </w:tc>
        <w:tc>
          <w:tcPr>
            <w:tcW w:w="3350" w:type="pct"/>
            <w:vAlign w:val="center"/>
          </w:tcPr>
          <w:p w14:paraId="16259687">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密封纸质投标文件</w:t>
            </w:r>
          </w:p>
        </w:tc>
      </w:tr>
      <w:tr w14:paraId="1190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D1B40A6">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072" w:type="pct"/>
            <w:vAlign w:val="center"/>
          </w:tcPr>
          <w:p w14:paraId="2389EDEF">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350" w:type="pct"/>
            <w:vAlign w:val="center"/>
          </w:tcPr>
          <w:p w14:paraId="7302BBE6">
            <w:pPr>
              <w:pStyle w:val="32"/>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5EF8C41F">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5A5730BC">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24861321">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04C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5E01258">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072" w:type="pct"/>
            <w:vAlign w:val="center"/>
          </w:tcPr>
          <w:p w14:paraId="13CF4FEB">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752A9519">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C6B8A1B">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w:t>
            </w:r>
          </w:p>
        </w:tc>
      </w:tr>
      <w:tr w14:paraId="00AA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F0A485C">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072" w:type="pct"/>
            <w:vAlign w:val="center"/>
          </w:tcPr>
          <w:p w14:paraId="5E14D38C">
            <w:pPr>
              <w:pStyle w:val="32"/>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5BE4D5D9">
            <w:pPr>
              <w:pStyle w:val="32"/>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0A449BE4">
            <w:pPr>
              <w:pStyle w:val="32"/>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14:paraId="05E1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1189591">
            <w:pPr>
              <w:pStyle w:val="33"/>
              <w:pBdr>
                <w:bottom w:val="none" w:color="auto" w:sz="0" w:space="0"/>
              </w:pBdr>
              <w:tabs>
                <w:tab w:val="clear" w:pos="4153"/>
                <w:tab w:val="clear" w:pos="8306"/>
              </w:tabs>
              <w:adjustRightInd/>
              <w:spacing w:line="24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072" w:type="pct"/>
            <w:vAlign w:val="center"/>
          </w:tcPr>
          <w:p w14:paraId="4645313D">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350" w:type="pct"/>
          </w:tcPr>
          <w:p w14:paraId="746AFAF3">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（1）金额：</w:t>
            </w:r>
          </w:p>
          <w:p w14:paraId="3D27F3B5">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rPr>
              <w:t>☑</w:t>
            </w:r>
            <w:r>
              <w:rPr>
                <w:rFonts w:ascii="Times New Roman" w:hAnsi="Times New Roman" w:eastAsia="宋体" w:cs="Times New Roman"/>
                <w:bCs/>
                <w:kern w:val="0"/>
                <w:szCs w:val="21"/>
              </w:rPr>
              <w:t>免收</w:t>
            </w:r>
          </w:p>
          <w:p w14:paraId="17199D2E">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5895F29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2A1F2BC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4EC6A7A3">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6F8629AE">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03D1E4E1">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13BE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577" w:type="pct"/>
            <w:vAlign w:val="center"/>
          </w:tcPr>
          <w:p w14:paraId="4F32F849">
            <w:pPr>
              <w:pStyle w:val="32"/>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072" w:type="pct"/>
            <w:vAlign w:val="center"/>
          </w:tcPr>
          <w:p w14:paraId="164264DF">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3350" w:type="pct"/>
            <w:vAlign w:val="center"/>
          </w:tcPr>
          <w:p w14:paraId="087123BD">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所投服务的人工费、保险费、福利费</w:t>
            </w:r>
            <w:r>
              <w:rPr>
                <w:rFonts w:hint="eastAsia" w:asciiTheme="minorEastAsia" w:hAnsiTheme="minorEastAsia" w:cstheme="minorEastAsia"/>
                <w:spacing w:val="6"/>
                <w:szCs w:val="21"/>
              </w:rPr>
              <w:t>、审计费、利润、税金及完成项目应有的全部费用</w:t>
            </w:r>
            <w:r>
              <w:rPr>
                <w:rFonts w:ascii="Times New Roman" w:hAnsi="Times New Roman" w:eastAsia="宋体" w:cs="Times New Roman"/>
                <w:szCs w:val="21"/>
              </w:rPr>
              <w:t>。</w:t>
            </w:r>
          </w:p>
          <w:p w14:paraId="11F36737">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5C482998">
            <w:pPr>
              <w:pStyle w:val="4"/>
            </w:pPr>
            <w:r>
              <w:rPr>
                <w:rFonts w:ascii="Times New Roman" w:hAnsi="Times New Roman" w:eastAsia="宋体" w:cs="Times New Roman"/>
                <w:b w:val="0"/>
                <w:sz w:val="21"/>
                <w:szCs w:val="21"/>
              </w:rPr>
              <w:t>（3）在项目过程中，投标人最终投标报价与公布的最高投标限价或项目预算相比降幅过小，或投标人最终投标报价明显缺乏竞争性的，评审小组可以否决其投标。</w:t>
            </w:r>
          </w:p>
        </w:tc>
      </w:tr>
      <w:tr w14:paraId="2B69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2907F9C">
            <w:pPr>
              <w:pStyle w:val="32"/>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1072" w:type="pct"/>
            <w:vAlign w:val="center"/>
          </w:tcPr>
          <w:p w14:paraId="02AEB7FD">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58B139F8">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51309227">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rPr>
              <w:t>☑</w:t>
            </w:r>
            <w:r>
              <w:rPr>
                <w:rFonts w:ascii="Times New Roman" w:hAnsi="Times New Roman" w:eastAsia="宋体" w:cs="Times New Roman"/>
                <w:szCs w:val="21"/>
              </w:rPr>
              <w:t>不要求</w:t>
            </w:r>
          </w:p>
          <w:p w14:paraId="539F5F7A">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57ADD240">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1C83DC51">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46FFE58E">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723C185A">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3858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A1A1B2F">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072" w:type="pct"/>
            <w:vAlign w:val="center"/>
          </w:tcPr>
          <w:p w14:paraId="7541CDCA">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350" w:type="pct"/>
            <w:vAlign w:val="center"/>
          </w:tcPr>
          <w:p w14:paraId="5AF45158">
            <w:pPr>
              <w:spacing w:line="360" w:lineRule="auto"/>
              <w:rPr>
                <w:rFonts w:ascii="Times New Roman" w:hAnsi="Times New Roman" w:cs="Times New Roman"/>
                <w:szCs w:val="21"/>
                <w:u w:val="single"/>
              </w:rPr>
            </w:pPr>
            <w:r>
              <w:rPr>
                <w:rFonts w:hint="eastAsia" w:ascii="Times New Roman" w:hAnsi="Times New Roman" w:cs="Times New Roman"/>
                <w:bCs/>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14:paraId="39C529FC">
            <w:pPr>
              <w:spacing w:line="360" w:lineRule="auto"/>
              <w:rPr>
                <w:rFonts w:ascii="Times New Roman" w:hAnsi="Times New Roman" w:cs="Times New Roman"/>
                <w:bCs/>
                <w:szCs w:val="21"/>
              </w:rPr>
            </w:pPr>
            <w:r>
              <w:rPr>
                <w:rFonts w:ascii="Times New Roman" w:hAnsi="Times New Roman" w:cs="Times New Roman"/>
                <w:bCs/>
                <w:szCs w:val="21"/>
              </w:rPr>
              <w:t>获取方式：</w:t>
            </w:r>
          </w:p>
          <w:p w14:paraId="487A197A">
            <w:pPr>
              <w:pStyle w:val="32"/>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w:t>
            </w:r>
            <w:r>
              <w:rPr>
                <w:rFonts w:hint="eastAsia" w:ascii="Times New Roman" w:hAnsi="Times New Roman" w:cs="Times New Roman"/>
                <w:sz w:val="21"/>
                <w:szCs w:val="21"/>
              </w:rPr>
              <w:t>在合肥</w:t>
            </w:r>
            <w:r>
              <w:rPr>
                <w:rFonts w:ascii="Times New Roman" w:hAnsi="Times New Roman" w:cs="Times New Roman"/>
                <w:sz w:val="21"/>
                <w:szCs w:val="21"/>
              </w:rPr>
              <w:t>文旅博览集团有限公司官网自行下载本项目附件。</w:t>
            </w:r>
          </w:p>
        </w:tc>
      </w:tr>
      <w:tr w14:paraId="7AB9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4C3D48C">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072" w:type="pct"/>
            <w:vAlign w:val="center"/>
          </w:tcPr>
          <w:p w14:paraId="10C7F6F4">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3350" w:type="pct"/>
            <w:vAlign w:val="center"/>
          </w:tcPr>
          <w:p w14:paraId="7C183074">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w:t>
            </w:r>
            <w:r>
              <w:rPr>
                <w:rFonts w:hint="eastAsia" w:ascii="Times New Roman" w:hAnsi="Times New Roman" w:eastAsia="宋体" w:cs="Times New Roman"/>
                <w:szCs w:val="21"/>
              </w:rPr>
              <w:t>依据投标人须知前附表的要求</w:t>
            </w:r>
            <w:r>
              <w:rPr>
                <w:rFonts w:ascii="Times New Roman" w:hAnsi="Times New Roman" w:eastAsia="宋体" w:cs="Times New Roman"/>
                <w:szCs w:val="21"/>
              </w:rPr>
              <w:t>提交履约保证金并与招标人签订合同，若中标人未能在规定期限内提交履约保证金或签订合同，招标人有权取消中标人中标资格；</w:t>
            </w:r>
          </w:p>
          <w:p w14:paraId="3C02B14B">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1EF3E3A4">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56F7B9E8">
            <w:pPr>
              <w:pStyle w:val="4"/>
              <w:spacing w:before="0" w:after="0"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E60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497DA88">
            <w:pPr>
              <w:pStyle w:val="33"/>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072" w:type="pct"/>
            <w:vAlign w:val="center"/>
          </w:tcPr>
          <w:p w14:paraId="3974F075">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350" w:type="pct"/>
            <w:vAlign w:val="center"/>
          </w:tcPr>
          <w:p w14:paraId="2A091958">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160336CE">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18D9131A">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6370C7AC">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2A584F94">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34EE7B00">
            <w:pPr>
              <w:pStyle w:val="32"/>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14:paraId="174A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577" w:type="pct"/>
            <w:vAlign w:val="center"/>
          </w:tcPr>
          <w:p w14:paraId="55B00362">
            <w:pPr>
              <w:pStyle w:val="33"/>
              <w:pBdr>
                <w:bottom w:val="none" w:color="auto" w:sz="0" w:space="0"/>
              </w:pBdr>
              <w:tabs>
                <w:tab w:val="clear" w:pos="4153"/>
                <w:tab w:val="clear" w:pos="8306"/>
              </w:tabs>
              <w:adjustRightInd/>
              <w:spacing w:line="240" w:lineRule="auto"/>
              <w:jc w:val="center"/>
              <w:textAlignment w:val="auto"/>
              <w:rPr>
                <w:rFonts w:ascii="Times New Roman" w:hAnsi="Times New Roman" w:eastAsia="宋体" w:cs="Times New Roman"/>
                <w:bCs/>
                <w:kern w:val="2"/>
                <w:sz w:val="21"/>
                <w:szCs w:val="21"/>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3</w:t>
            </w:r>
          </w:p>
        </w:tc>
        <w:tc>
          <w:tcPr>
            <w:tcW w:w="1072" w:type="pct"/>
            <w:vAlign w:val="center"/>
          </w:tcPr>
          <w:p w14:paraId="2F321C05">
            <w:pPr>
              <w:pStyle w:val="32"/>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350" w:type="pct"/>
            <w:vAlign w:val="center"/>
          </w:tcPr>
          <w:p w14:paraId="415073F2">
            <w:pPr>
              <w:numPr>
                <w:ilvl w:val="0"/>
                <w:numId w:val="2"/>
              </w:numPr>
              <w:adjustRightInd w:val="0"/>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投标人的投标文件可通过</w:t>
            </w:r>
            <w:r>
              <w:rPr>
                <w:rFonts w:hint="eastAsia" w:ascii="Times New Roman" w:hAnsi="Times New Roman" w:eastAsia="宋体" w:cs="Times New Roman"/>
                <w:b/>
                <w:bCs/>
                <w:szCs w:val="21"/>
              </w:rPr>
              <w:t>邮递方式</w:t>
            </w:r>
            <w:r>
              <w:rPr>
                <w:rFonts w:hint="eastAsia" w:ascii="Times New Roman" w:hAnsi="Times New Roman" w:eastAsia="宋体" w:cs="Times New Roman"/>
                <w:szCs w:val="21"/>
              </w:rPr>
              <w:t>在开标前送达到招标人处。</w:t>
            </w:r>
          </w:p>
          <w:p w14:paraId="3F8BE13B">
            <w:pPr>
              <w:numPr>
                <w:ilvl w:val="0"/>
                <w:numId w:val="2"/>
              </w:numPr>
              <w:adjustRightInd w:val="0"/>
              <w:snapToGrid w:val="0"/>
              <w:spacing w:line="360" w:lineRule="auto"/>
              <w:rPr>
                <w:rFonts w:ascii="Times New Roman" w:hAnsi="Times New Roman" w:eastAsia="宋体"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，投标人不足3家，</w:t>
            </w:r>
            <w:r>
              <w:rPr>
                <w:rFonts w:ascii="Times New Roman" w:hAnsi="Times New Roman" w:eastAsia="宋体" w:cs="Times New Roman"/>
                <w:szCs w:val="21"/>
              </w:rPr>
              <w:t>本项目做流标处理。</w:t>
            </w:r>
          </w:p>
        </w:tc>
      </w:tr>
    </w:tbl>
    <w:p w14:paraId="6D0EF63F">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14:paraId="609B2E57">
      <w:pPr>
        <w:spacing w:line="360" w:lineRule="auto"/>
        <w:ind w:firstLine="437"/>
        <w:outlineLvl w:val="3"/>
        <w:rPr>
          <w:rFonts w:ascii="Times New Roman" w:hAnsi="Times New Roman" w:cs="Times New Roman"/>
          <w:b/>
          <w:sz w:val="24"/>
        </w:rPr>
      </w:pPr>
      <w:r>
        <w:rPr>
          <w:rFonts w:ascii="Times New Roman" w:hAnsi="Times New Roman" w:cs="Times New Roman"/>
          <w:b/>
          <w:sz w:val="24"/>
        </w:rPr>
        <w:t>1.适用范围</w:t>
      </w:r>
    </w:p>
    <w:p w14:paraId="38DBD451">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服务</w:t>
      </w:r>
      <w:r>
        <w:rPr>
          <w:rFonts w:ascii="Times New Roman" w:hAnsi="Times New Roman" w:eastAsia="宋体" w:cs="Times New Roman"/>
          <w:szCs w:val="21"/>
        </w:rPr>
        <w:t>采购。</w:t>
      </w:r>
    </w:p>
    <w:p w14:paraId="0F39C535">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14:paraId="36E1881B">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14:paraId="5814A2AA">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14:paraId="7ECD199F">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14:paraId="300EDA06">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14:paraId="783E0F82">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14:paraId="7CB13E26">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14:paraId="2BF23B5E">
      <w:pPr>
        <w:spacing w:line="360" w:lineRule="auto"/>
        <w:ind w:firstLine="420" w:firstLineChars="200"/>
        <w:rPr>
          <w:rFonts w:ascii="Times New Roman" w:hAnsi="Times New Roman" w:cs="Times New Roman"/>
          <w:szCs w:val="21"/>
        </w:rPr>
      </w:pPr>
      <w:bookmarkStart w:id="4" w:name="_Hlk16458980"/>
      <w:r>
        <w:rPr>
          <w:rFonts w:ascii="Times New Roman" w:hAnsi="Times New Roman" w:cs="Times New Roman"/>
          <w:szCs w:val="21"/>
        </w:rPr>
        <w:t>3.2无论询价文件中是否要求，投标人所提供的</w:t>
      </w:r>
      <w:r>
        <w:rPr>
          <w:rFonts w:hint="eastAsia" w:ascii="Times New Roman" w:hAnsi="Times New Roman" w:cs="Times New Roman"/>
          <w:szCs w:val="21"/>
        </w:rPr>
        <w:t>服务</w:t>
      </w:r>
      <w:r>
        <w:rPr>
          <w:rFonts w:ascii="Times New Roman" w:hAnsi="Times New Roman" w:cs="Times New Roman"/>
          <w:szCs w:val="21"/>
        </w:rPr>
        <w:t>应符合国家强制性标准。</w:t>
      </w:r>
    </w:p>
    <w:bookmarkEnd w:id="4"/>
    <w:p w14:paraId="760BA523">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71C4B09E">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14:paraId="5A6B5378">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14:paraId="67E58C05">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14:paraId="3F9E9053">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14:paraId="021EFDC3">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14:paraId="532635E7">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14:paraId="27503E60">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14:paraId="5466DD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w:t>
      </w:r>
      <w:r>
        <w:rPr>
          <w:rFonts w:hint="eastAsia" w:ascii="Times New Roman" w:hAnsi="Times New Roman" w:cs="Times New Roman"/>
          <w:szCs w:val="21"/>
        </w:rPr>
        <w:t>服务</w:t>
      </w:r>
      <w:r>
        <w:rPr>
          <w:rFonts w:ascii="Times New Roman" w:hAnsi="Times New Roman" w:cs="Times New Roman"/>
          <w:szCs w:val="21"/>
        </w:rPr>
        <w:t>，以及伴随的服务和工程。</w:t>
      </w:r>
    </w:p>
    <w:p w14:paraId="18597BA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14:paraId="72578DA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w:t>
      </w:r>
      <w:r>
        <w:rPr>
          <w:rFonts w:hint="eastAsia" w:ascii="Times New Roman" w:hAnsi="Times New Roman" w:cs="Times New Roman"/>
          <w:szCs w:val="21"/>
        </w:rPr>
        <w:t>服务</w:t>
      </w:r>
      <w:r>
        <w:rPr>
          <w:rFonts w:ascii="Times New Roman" w:hAnsi="Times New Roman" w:cs="Times New Roman"/>
          <w:szCs w:val="21"/>
        </w:rPr>
        <w:t>及相关服务的单价（如适用）和总价。未标明的视同包含在报价中。</w:t>
      </w:r>
    </w:p>
    <w:p w14:paraId="22260D6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14:paraId="65830E07">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14:paraId="3F49D25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w:t>
      </w:r>
      <w:r>
        <w:rPr>
          <w:rFonts w:hint="eastAsia" w:ascii="Times New Roman" w:hAnsi="Times New Roman" w:cs="Times New Roman"/>
          <w:szCs w:val="21"/>
        </w:rPr>
        <w:t>不满足询价有效期</w:t>
      </w:r>
      <w:r>
        <w:rPr>
          <w:rFonts w:ascii="Times New Roman" w:hAnsi="Times New Roman" w:cs="Times New Roman"/>
          <w:szCs w:val="21"/>
        </w:rPr>
        <w:t>要求的</w:t>
      </w:r>
      <w:r>
        <w:rPr>
          <w:rFonts w:hint="eastAsia" w:ascii="Times New Roman" w:hAnsi="Times New Roman" w:cs="Times New Roman"/>
          <w:szCs w:val="21"/>
        </w:rPr>
        <w:t>为</w:t>
      </w:r>
      <w:r>
        <w:rPr>
          <w:rFonts w:ascii="Times New Roman" w:hAnsi="Times New Roman" w:cs="Times New Roman"/>
          <w:szCs w:val="21"/>
        </w:rPr>
        <w:t>无效投标。</w:t>
      </w:r>
    </w:p>
    <w:p w14:paraId="1F3BB53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78BDEB3C">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14:paraId="4D26CAE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14:paraId="2C2D642A">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14:paraId="108BC242">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6E9DE14">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14:paraId="6A88AF9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14:paraId="38ABEC0A">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14:paraId="75B30F5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5" w:name="_Hlk22476245"/>
      <w:r>
        <w:rPr>
          <w:rFonts w:ascii="Times New Roman" w:hAnsi="Times New Roman" w:cs="Times New Roman"/>
          <w:szCs w:val="21"/>
        </w:rPr>
        <w:t>投标文件提交截止时间</w:t>
      </w:r>
      <w:bookmarkEnd w:id="5"/>
      <w:r>
        <w:rPr>
          <w:rFonts w:ascii="Times New Roman" w:hAnsi="Times New Roman" w:cs="Times New Roman"/>
          <w:szCs w:val="21"/>
        </w:rPr>
        <w:t>前，将封装的投标文件送到指定开标地点。</w:t>
      </w:r>
    </w:p>
    <w:p w14:paraId="0CA208F5">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14:paraId="7D143148">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14:paraId="045E07A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14:paraId="0E298BA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14:paraId="4CF8AF8D">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14:paraId="4CB89E20">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由招标人抽取专家等方式组建的评审小组，负责本项目评审工作。评审小组成员由3人以上单数组成，评审小组及其成员应当依照有关规定履行相关职责和义务。</w:t>
      </w:r>
    </w:p>
    <w:p w14:paraId="3175BC7C">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14:paraId="60E7CBAD">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14:paraId="08F997BC">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14:paraId="5C5C4F25">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14:paraId="13E66832">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14:paraId="6D8ECAEA">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14:paraId="4E51042D">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14:paraId="2A2C694F">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14:paraId="0F6B251A">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3A59611">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14:paraId="43B60CAC">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14:paraId="33A94D20">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14:paraId="54755CFE">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w:t>
      </w:r>
      <w:r>
        <w:rPr>
          <w:rFonts w:hint="eastAsia" w:ascii="Times New Roman" w:hAnsi="Times New Roman" w:cs="Times New Roman"/>
          <w:szCs w:val="21"/>
        </w:rPr>
        <w:t>评分</w:t>
      </w:r>
      <w:r>
        <w:rPr>
          <w:rFonts w:ascii="Times New Roman" w:hAnsi="Times New Roman" w:cs="Times New Roman"/>
          <w:szCs w:val="21"/>
        </w:rPr>
        <w:t>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14:paraId="6E9A597A">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14:paraId="384E77FC">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14:paraId="6921AC7B">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16882AA1">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14:paraId="3E10667A">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14:paraId="28D41981">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14:paraId="1677A48A">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14:paraId="7A32C4F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14:paraId="0EFA49AD">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14:paraId="45E8E14B">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14:paraId="0EF8DF79">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14:paraId="146C7588">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14:paraId="5CAF5EB2">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14:paraId="23C99493">
      <w:pPr>
        <w:spacing w:line="360" w:lineRule="auto"/>
        <w:jc w:val="center"/>
        <w:outlineLvl w:val="0"/>
        <w:rPr>
          <w:rFonts w:ascii="Times New Roman" w:hAnsi="Times New Roman" w:cs="Times New Roman"/>
          <w:b/>
          <w:sz w:val="28"/>
        </w:rPr>
      </w:pPr>
      <w:bookmarkStart w:id="6" w:name="_Toc11969"/>
      <w:r>
        <w:rPr>
          <w:rFonts w:ascii="Times New Roman" w:hAnsi="Times New Roman" w:cs="Times New Roman"/>
          <w:b/>
          <w:sz w:val="28"/>
        </w:rPr>
        <w:t xml:space="preserve">第三章  </w:t>
      </w:r>
      <w:bookmarkEnd w:id="6"/>
      <w:r>
        <w:rPr>
          <w:rFonts w:ascii="Times New Roman" w:hAnsi="Times New Roman" w:cs="Times New Roman"/>
          <w:b/>
          <w:sz w:val="28"/>
        </w:rPr>
        <w:t>招标人要求</w:t>
      </w:r>
    </w:p>
    <w:p w14:paraId="4EFFD9E1">
      <w:pPr>
        <w:widowControl/>
        <w:spacing w:line="520" w:lineRule="exact"/>
        <w:ind w:firstLine="444" w:firstLineChars="200"/>
        <w:jc w:val="left"/>
        <w:rPr>
          <w:rFonts w:asciiTheme="minorEastAsia" w:hAnsiTheme="minorEastAsia" w:cstheme="minorEastAsia"/>
          <w:spacing w:val="6"/>
          <w:szCs w:val="21"/>
        </w:rPr>
      </w:pPr>
      <w:r>
        <w:rPr>
          <w:rFonts w:hint="eastAsia" w:asciiTheme="minorEastAsia" w:hAnsiTheme="minorEastAsia" w:cstheme="minorEastAsia"/>
          <w:spacing w:val="6"/>
          <w:szCs w:val="21"/>
        </w:rPr>
        <w:t>招标人要求应尽可能清晰准确，对于可以进行定量评估的工作，招标人要求不仅应明确规定其功能、用途、质量、环境、安全，并且要规定偏差的范围和计算方法，以及检验、试验、试运行的具体要求。对于投标人负责提供的有关服务，在招标人要求中应一并明确规定。</w:t>
      </w:r>
    </w:p>
    <w:p w14:paraId="44163AC3">
      <w:pPr>
        <w:widowControl/>
        <w:spacing w:line="520" w:lineRule="exact"/>
        <w:ind w:firstLine="444" w:firstLineChars="200"/>
        <w:jc w:val="left"/>
        <w:rPr>
          <w:rFonts w:asciiTheme="minorEastAsia" w:hAnsiTheme="minorEastAsia" w:cstheme="minorEastAsia"/>
          <w:spacing w:val="6"/>
          <w:szCs w:val="21"/>
        </w:rPr>
      </w:pPr>
      <w:r>
        <w:rPr>
          <w:rFonts w:hint="eastAsia" w:asciiTheme="minorEastAsia" w:hAnsiTheme="minorEastAsia" w:cstheme="minorEastAsia"/>
          <w:spacing w:val="6"/>
          <w:szCs w:val="21"/>
        </w:rPr>
        <w:t>招标人要求通常包括但不限于以下内容：</w:t>
      </w:r>
    </w:p>
    <w:p w14:paraId="2B57F4D0">
      <w:pPr>
        <w:numPr>
          <w:ilvl w:val="0"/>
          <w:numId w:val="3"/>
        </w:numPr>
        <w:spacing w:line="360" w:lineRule="auto"/>
        <w:ind w:firstLine="422" w:firstLineChars="200"/>
        <w:outlineLvl w:val="1"/>
      </w:pPr>
      <w:r>
        <w:rPr>
          <w:rFonts w:hint="eastAsia" w:asciiTheme="minorEastAsia" w:hAnsiTheme="minorEastAsia" w:cstheme="minorEastAsia"/>
          <w:b/>
          <w:szCs w:val="21"/>
        </w:rPr>
        <w:t>评估对象及目的</w:t>
      </w:r>
    </w:p>
    <w:p w14:paraId="2D6AA6AF">
      <w:pPr>
        <w:widowControl/>
        <w:spacing w:line="520" w:lineRule="exact"/>
        <w:ind w:firstLine="444" w:firstLineChars="200"/>
        <w:jc w:val="left"/>
        <w:rPr>
          <w:rFonts w:asciiTheme="minorEastAsia" w:hAnsiTheme="minorEastAsia" w:cstheme="minorEastAsia"/>
          <w:spacing w:val="6"/>
          <w:szCs w:val="21"/>
        </w:rPr>
      </w:pPr>
      <w:r>
        <w:rPr>
          <w:rFonts w:hint="eastAsia" w:asciiTheme="minorEastAsia" w:hAnsiTheme="minorEastAsia" w:cstheme="minorEastAsia"/>
          <w:spacing w:val="6"/>
          <w:szCs w:val="21"/>
        </w:rPr>
        <w:t>对合肥经纬资产经营管理有限公司FS420蜘蛛式高空平台等处置资产进行评估，以便于确定资产交易底价，评估对象见附件，具体以现场实际为准，资产状态以招标人意见为准。</w:t>
      </w:r>
    </w:p>
    <w:p w14:paraId="7E3893AF">
      <w:pPr>
        <w:spacing w:line="360" w:lineRule="auto"/>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二、服务内容及要求</w:t>
      </w:r>
    </w:p>
    <w:p w14:paraId="38DFD233">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1、根据国家有关法规和行业规定，能够独立客观地进行鉴定评估。在签订委托合同，并且招标人提供完整的评估资料后，</w:t>
      </w:r>
      <w:r>
        <w:rPr>
          <w:rFonts w:hint="eastAsia" w:asciiTheme="minorEastAsia" w:hAnsiTheme="minorEastAsia" w:cstheme="minorEastAsia"/>
          <w:spacing w:val="6"/>
          <w:szCs w:val="21"/>
          <w:highlight w:val="none"/>
        </w:rPr>
        <w:t>在约定时间内</w:t>
      </w:r>
      <w:r>
        <w:rPr>
          <w:rFonts w:hint="eastAsia" w:asciiTheme="minorEastAsia" w:hAnsiTheme="minorEastAsia" w:cstheme="minorEastAsia"/>
          <w:spacing w:val="6"/>
          <w:szCs w:val="21"/>
        </w:rPr>
        <w:t>将评估报告书初稿报招标人审核并获取意见后72小时内出具评估报告。</w:t>
      </w:r>
    </w:p>
    <w:p w14:paraId="4985D20C">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2、投标人应当对被评估对象进行全面清查，根据招标人提供的资产清单，核实资产账面与实际是否相符，并据此作出鉴定。</w:t>
      </w:r>
    </w:p>
    <w:p w14:paraId="13C931A0">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3、投标人应充分根据资产原值、净值、新旧程度、重置成本、获利能力等因素选用合适的资产评估方法；并优先在持续使用的假设前提下，进行评估。</w:t>
      </w:r>
    </w:p>
    <w:p w14:paraId="04C67CC3">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 xml:space="preserve">4、投标人出具的资产评估报告应当完整、齐全内容、格式符合《企业国有资产评估报告指南》（中评协[2017]42号）的规定。   </w:t>
      </w:r>
    </w:p>
    <w:p w14:paraId="473BFA8D">
      <w:pPr>
        <w:spacing w:line="520" w:lineRule="exact"/>
        <w:rPr>
          <w:rFonts w:asciiTheme="minorEastAsia" w:hAnsiTheme="minorEastAsia" w:cstheme="minorEastAsia"/>
          <w:b/>
          <w:szCs w:val="21"/>
        </w:rPr>
      </w:pPr>
      <w:r>
        <w:rPr>
          <w:rFonts w:hint="eastAsia" w:asciiTheme="minorEastAsia" w:hAnsiTheme="minorEastAsia" w:cstheme="minorEastAsia"/>
          <w:spacing w:val="6"/>
          <w:szCs w:val="21"/>
        </w:rPr>
        <w:t>三、</w:t>
      </w:r>
      <w:r>
        <w:rPr>
          <w:rFonts w:hint="eastAsia" w:asciiTheme="minorEastAsia" w:hAnsiTheme="minorEastAsia" w:cstheme="minorEastAsia"/>
          <w:b/>
          <w:szCs w:val="21"/>
        </w:rPr>
        <w:t>服务期限要求：</w:t>
      </w:r>
    </w:p>
    <w:p w14:paraId="48BD3453">
      <w:pPr>
        <w:pStyle w:val="22"/>
        <w:numPr>
          <w:ilvl w:val="255"/>
          <w:numId w:val="0"/>
        </w:numPr>
        <w:spacing w:line="520" w:lineRule="exact"/>
        <w:ind w:firstLine="444" w:firstLineChars="200"/>
        <w:rPr>
          <w:rFonts w:asciiTheme="minorEastAsia" w:hAnsiTheme="minorEastAsia" w:cstheme="minorEastAsia"/>
          <w:spacing w:val="6"/>
          <w:szCs w:val="21"/>
          <w:highlight w:val="none"/>
        </w:rPr>
      </w:pPr>
      <w:r>
        <w:rPr>
          <w:rFonts w:hint="eastAsia" w:asciiTheme="minorEastAsia" w:hAnsiTheme="minorEastAsia" w:cstheme="minorEastAsia"/>
          <w:spacing w:val="6"/>
          <w:szCs w:val="21"/>
          <w:highlight w:val="none"/>
        </w:rPr>
        <w:t>投标单位应自签订合同签订后</w:t>
      </w:r>
      <w:r>
        <w:rPr>
          <w:rFonts w:asciiTheme="minorEastAsia" w:hAnsiTheme="minorEastAsia" w:cstheme="minorEastAsia"/>
          <w:spacing w:val="6"/>
          <w:szCs w:val="21"/>
          <w:highlight w:val="none"/>
        </w:rPr>
        <w:t>7个工作日内完成资产评估工作，出具符合委托人要求的评估报告。</w:t>
      </w:r>
    </w:p>
    <w:p w14:paraId="273FF772">
      <w:pPr>
        <w:spacing w:line="360" w:lineRule="auto"/>
        <w:outlineLvl w:val="1"/>
        <w:rPr>
          <w:rFonts w:asciiTheme="minorEastAsia" w:hAnsiTheme="minorEastAsia" w:cstheme="minorEastAsia"/>
          <w:b/>
          <w:szCs w:val="21"/>
        </w:rPr>
      </w:pPr>
      <w:r>
        <w:rPr>
          <w:rFonts w:hint="eastAsia" w:asciiTheme="minorEastAsia" w:hAnsiTheme="minorEastAsia" w:cstheme="minorEastAsia"/>
          <w:b/>
          <w:szCs w:val="21"/>
        </w:rPr>
        <w:t>四、报价要求</w:t>
      </w:r>
    </w:p>
    <w:p w14:paraId="47C59756">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1、本项目采用总价报价，投标单位报投标总价不得高于项目概算金额，该总价包括但不限于投标单位的人工费、保险费、福利费、审计费、利润、税金及完成项目应有的全部费用。以投标总价作为评标依据，报价相同的，</w:t>
      </w:r>
      <w:bookmarkStart w:id="7" w:name="_Hlk514735510"/>
      <w:r>
        <w:rPr>
          <w:rFonts w:hint="eastAsia" w:asciiTheme="minorEastAsia" w:hAnsiTheme="minorEastAsia" w:cstheme="minorEastAsia"/>
          <w:spacing w:val="6"/>
          <w:szCs w:val="21"/>
        </w:rPr>
        <w:t>则采取评标委员会抽签方式确定中标单位。</w:t>
      </w:r>
      <w:bookmarkEnd w:id="7"/>
    </w:p>
    <w:p w14:paraId="78A01CA3">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2、投标人需提前自行对项目现场和周围环境进行勘察，勘查现场所发生的费用由投标人自行承担。</w:t>
      </w:r>
    </w:p>
    <w:p w14:paraId="54317C9A">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3、投标总价包括本次评估全部内容及工期的成本、利润、税金、运输费、损耗等所有费用。</w:t>
      </w:r>
    </w:p>
    <w:p w14:paraId="143EBC56">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4、投标报价总价不得高于项目概算。投标单位报投标总价高于项目概算金额报价无效。</w:t>
      </w:r>
    </w:p>
    <w:p w14:paraId="418DF83D">
      <w:pPr>
        <w:spacing w:line="360" w:lineRule="auto"/>
        <w:outlineLvl w:val="1"/>
        <w:rPr>
          <w:rFonts w:asciiTheme="minorEastAsia" w:hAnsiTheme="minorEastAsia" w:cstheme="minorEastAsia"/>
          <w:b/>
          <w:szCs w:val="21"/>
        </w:rPr>
      </w:pPr>
      <w:r>
        <w:rPr>
          <w:rFonts w:hint="eastAsia" w:asciiTheme="minorEastAsia" w:hAnsiTheme="minorEastAsia" w:cstheme="minorEastAsia"/>
          <w:b/>
          <w:szCs w:val="21"/>
        </w:rPr>
        <w:t>五、付款方式</w:t>
      </w:r>
    </w:p>
    <w:p w14:paraId="49D6CF2A">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中标人与委托人签订合同，中标人完成全部评估并出具符合委托人要求的评估报告后30日内一次性支付评估费用。</w:t>
      </w:r>
    </w:p>
    <w:p w14:paraId="7575355D">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注：（1）在招标人付款前，中标人需向招标人交付等额的增值税专用发票，否则招标人有权拒绝或者延迟付款，且不承担违约责任。</w:t>
      </w:r>
    </w:p>
    <w:p w14:paraId="6E9C1A99">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（2）投标人提交的投标文件中如有关于付款条件的表述与询价文件规定不符，投标无效。</w:t>
      </w:r>
    </w:p>
    <w:p w14:paraId="19CE0894">
      <w:pPr>
        <w:spacing w:line="360" w:lineRule="auto"/>
        <w:ind w:firstLine="480" w:firstLineChars="200"/>
        <w:rPr>
          <w:rFonts w:ascii="Times New Roman" w:hAnsi="Times New Roman" w:cs="Times New Roman"/>
          <w:sz w:val="24"/>
        </w:rPr>
      </w:pPr>
      <w:r>
        <w:rPr>
          <w:rFonts w:ascii="Times New Roman" w:hAnsi="Times New Roman" w:cs="Times New Roman"/>
          <w:sz w:val="24"/>
        </w:rPr>
        <w:br w:type="page"/>
      </w:r>
    </w:p>
    <w:p w14:paraId="6644FD2F">
      <w:pPr>
        <w:spacing w:line="360" w:lineRule="auto"/>
        <w:jc w:val="center"/>
        <w:outlineLvl w:val="1"/>
        <w:rPr>
          <w:rFonts w:ascii="Times New Roman" w:hAnsi="Times New Roman" w:cs="Times New Roman"/>
          <w:b/>
          <w:sz w:val="28"/>
        </w:rPr>
      </w:pPr>
      <w:bookmarkStart w:id="8" w:name="_Toc17615"/>
      <w:r>
        <w:rPr>
          <w:rFonts w:ascii="Times New Roman" w:hAnsi="Times New Roman" w:cs="Times New Roman"/>
          <w:b/>
          <w:sz w:val="28"/>
        </w:rPr>
        <w:t>第四章  评审方法和标准</w:t>
      </w:r>
      <w:bookmarkEnd w:id="8"/>
    </w:p>
    <w:p w14:paraId="2C36BFB6">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14:paraId="17C04AEA">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14:paraId="6CE8AA7F">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14:paraId="2DC9FF29">
      <w:pPr>
        <w:spacing w:line="360" w:lineRule="auto"/>
        <w:ind w:firstLine="420" w:firstLineChars="200"/>
        <w:rPr>
          <w:rFonts w:ascii="Times New Roman" w:hAnsi="Times New Roman" w:cs="Times New Roman"/>
          <w:szCs w:val="16"/>
        </w:rPr>
      </w:pPr>
      <w:bookmarkStart w:id="9"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14:paraId="7A715727">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14:paraId="45EDA3DE">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14:paraId="7339B185">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14:paraId="1C886C0C">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14:paraId="4B73B2B0">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14:paraId="134ADBD4">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14:paraId="58CD1583">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14:paraId="4517897C">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14:paraId="73398C79">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3C049666">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14:paraId="1BB67190">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14:paraId="0D8A309F">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919"/>
        <w:gridCol w:w="5504"/>
      </w:tblGrid>
      <w:tr w14:paraId="3F5D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6" w:type="pct"/>
            <w:tcBorders>
              <w:bottom w:val="single" w:color="auto" w:sz="4" w:space="0"/>
            </w:tcBorders>
            <w:vAlign w:val="center"/>
          </w:tcPr>
          <w:p w14:paraId="12A1F307">
            <w:pPr>
              <w:adjustRightInd w:val="0"/>
              <w:snapToGrid w:val="0"/>
              <w:spacing w:line="440" w:lineRule="exact"/>
              <w:ind w:right="-10"/>
              <w:jc w:val="center"/>
              <w:rPr>
                <w:rFonts w:ascii="Times New Roman" w:hAnsi="Times New Roman" w:cs="Times New Roman"/>
                <w:szCs w:val="21"/>
              </w:rPr>
            </w:pPr>
            <w:bookmarkStart w:id="10" w:name="_Hlk16461707"/>
            <w:r>
              <w:rPr>
                <w:rFonts w:ascii="Times New Roman" w:hAnsi="Times New Roman" w:cs="Times New Roman"/>
                <w:szCs w:val="21"/>
              </w:rPr>
              <w:t>序号</w:t>
            </w:r>
          </w:p>
        </w:tc>
        <w:tc>
          <w:tcPr>
            <w:tcW w:w="1159" w:type="pct"/>
            <w:tcBorders>
              <w:bottom w:val="single" w:color="auto" w:sz="4" w:space="0"/>
            </w:tcBorders>
            <w:vAlign w:val="center"/>
          </w:tcPr>
          <w:p w14:paraId="757B4C0A">
            <w:pPr>
              <w:pStyle w:val="33"/>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4" w:type="pct"/>
            <w:tcBorders>
              <w:bottom w:val="single" w:color="auto" w:sz="4" w:space="0"/>
            </w:tcBorders>
            <w:vAlign w:val="center"/>
          </w:tcPr>
          <w:p w14:paraId="205F8261">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14:paraId="72D3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6" w:type="pct"/>
            <w:tcBorders>
              <w:bottom w:val="single" w:color="auto" w:sz="4" w:space="0"/>
            </w:tcBorders>
            <w:vAlign w:val="center"/>
          </w:tcPr>
          <w:p w14:paraId="64B1D9AD">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59" w:type="pct"/>
            <w:tcBorders>
              <w:bottom w:val="single" w:color="auto" w:sz="4" w:space="0"/>
            </w:tcBorders>
            <w:vAlign w:val="center"/>
          </w:tcPr>
          <w:p w14:paraId="775D1A7C">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3324" w:type="pct"/>
            <w:tcBorders>
              <w:bottom w:val="single" w:color="auto" w:sz="4" w:space="0"/>
            </w:tcBorders>
            <w:vAlign w:val="center"/>
          </w:tcPr>
          <w:p w14:paraId="20CF166D">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14:paraId="766C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6" w:type="pct"/>
            <w:vAlign w:val="center"/>
          </w:tcPr>
          <w:p w14:paraId="79130BA5">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2</w:t>
            </w:r>
          </w:p>
        </w:tc>
        <w:tc>
          <w:tcPr>
            <w:tcW w:w="1159" w:type="pct"/>
            <w:vAlign w:val="center"/>
          </w:tcPr>
          <w:p w14:paraId="1B27ADA8">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4" w:type="pct"/>
            <w:vAlign w:val="center"/>
          </w:tcPr>
          <w:p w14:paraId="358DF7C8">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14:paraId="1818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6" w:type="pct"/>
            <w:vAlign w:val="center"/>
          </w:tcPr>
          <w:p w14:paraId="26739445">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3</w:t>
            </w:r>
          </w:p>
        </w:tc>
        <w:tc>
          <w:tcPr>
            <w:tcW w:w="1159" w:type="pct"/>
            <w:vAlign w:val="center"/>
          </w:tcPr>
          <w:p w14:paraId="2EBD8899">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3324" w:type="pct"/>
            <w:vAlign w:val="center"/>
          </w:tcPr>
          <w:p w14:paraId="4A389DFD">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14:paraId="72E3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6" w:type="pct"/>
            <w:vAlign w:val="center"/>
          </w:tcPr>
          <w:p w14:paraId="508567B1">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4</w:t>
            </w:r>
          </w:p>
        </w:tc>
        <w:tc>
          <w:tcPr>
            <w:tcW w:w="1159" w:type="pct"/>
            <w:vAlign w:val="center"/>
          </w:tcPr>
          <w:p w14:paraId="265CF612">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4" w:type="pct"/>
            <w:vAlign w:val="center"/>
          </w:tcPr>
          <w:p w14:paraId="55215855">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14:paraId="454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6" w:type="pct"/>
            <w:vAlign w:val="center"/>
          </w:tcPr>
          <w:p w14:paraId="4A8AFF5C">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5</w:t>
            </w:r>
          </w:p>
        </w:tc>
        <w:tc>
          <w:tcPr>
            <w:tcW w:w="1159" w:type="pct"/>
            <w:vAlign w:val="center"/>
          </w:tcPr>
          <w:p w14:paraId="70093E78">
            <w:pPr>
              <w:adjustRightInd w:val="0"/>
              <w:snapToGrid w:val="0"/>
              <w:ind w:right="-10"/>
              <w:jc w:val="center"/>
              <w:rPr>
                <w:rFonts w:cs="Times New Roman"/>
                <w:szCs w:val="21"/>
              </w:rPr>
            </w:pPr>
            <w:r>
              <w:rPr>
                <w:rFonts w:hint="eastAsia" w:cs="Times New Roman"/>
                <w:szCs w:val="21"/>
              </w:rPr>
              <w:t>授权书</w:t>
            </w:r>
          </w:p>
        </w:tc>
        <w:tc>
          <w:tcPr>
            <w:tcW w:w="3324" w:type="pct"/>
            <w:vAlign w:val="center"/>
          </w:tcPr>
          <w:p w14:paraId="3A8036DA">
            <w:pPr>
              <w:adjustRightInd w:val="0"/>
              <w:snapToGrid w:val="0"/>
              <w:ind w:right="-10"/>
              <w:jc w:val="left"/>
              <w:rPr>
                <w:rFonts w:ascii="Calibri" w:hAnsi="Calibri" w:cs="Times New Roman"/>
                <w:szCs w:val="21"/>
              </w:rPr>
            </w:pPr>
            <w:r>
              <w:rPr>
                <w:rFonts w:hint="eastAsia" w:cs="Times New Roman"/>
                <w:szCs w:val="21"/>
              </w:rPr>
              <w:t>符合</w:t>
            </w:r>
            <w:r>
              <w:rPr>
                <w:rFonts w:hint="eastAsia" w:ascii="Times New Roman" w:hAnsi="Times New Roman" w:cs="Times New Roman"/>
                <w:szCs w:val="21"/>
              </w:rPr>
              <w:t>询价</w:t>
            </w:r>
            <w:r>
              <w:rPr>
                <w:rFonts w:hint="eastAsia" w:cs="Times New Roman"/>
                <w:szCs w:val="21"/>
              </w:rPr>
              <w:t>文件要求。</w:t>
            </w:r>
          </w:p>
        </w:tc>
      </w:tr>
      <w:tr w14:paraId="1960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6" w:type="pct"/>
            <w:vAlign w:val="center"/>
          </w:tcPr>
          <w:p w14:paraId="3691E343">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6</w:t>
            </w:r>
          </w:p>
        </w:tc>
        <w:tc>
          <w:tcPr>
            <w:tcW w:w="1159" w:type="pct"/>
            <w:vAlign w:val="center"/>
          </w:tcPr>
          <w:p w14:paraId="3438B04B">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4" w:type="pct"/>
            <w:vAlign w:val="center"/>
          </w:tcPr>
          <w:p w14:paraId="0078D2E8">
            <w:pPr>
              <w:spacing w:after="50" w:line="440" w:lineRule="exact"/>
              <w:ind w:right="-10"/>
              <w:jc w:val="left"/>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14:paraId="2A63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6E47F46C">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14:paraId="58FD7CE3">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w:t>
            </w:r>
            <w:r>
              <w:rPr>
                <w:rFonts w:hint="eastAsia" w:ascii="Times New Roman" w:hAnsi="Times New Roman" w:cs="Times New Roman"/>
                <w:szCs w:val="21"/>
              </w:rPr>
              <w:t>效投</w:t>
            </w:r>
            <w:r>
              <w:rPr>
                <w:rFonts w:ascii="Times New Roman" w:hAnsi="Times New Roman" w:cs="Times New Roman"/>
                <w:szCs w:val="21"/>
              </w:rPr>
              <w:t>标进行评审，未列入上表中的指标不得作为否决投标依据。符合评审指标通过标准的，为有效投标。</w:t>
            </w:r>
          </w:p>
        </w:tc>
      </w:tr>
      <w:bookmarkEnd w:id="9"/>
      <w:bookmarkEnd w:id="10"/>
    </w:tbl>
    <w:p w14:paraId="6D643B67">
      <w:pPr>
        <w:spacing w:line="360" w:lineRule="auto"/>
        <w:ind w:firstLine="437"/>
        <w:outlineLvl w:val="3"/>
        <w:rPr>
          <w:rFonts w:ascii="Times New Roman" w:hAnsi="Times New Roman" w:cs="Times New Roman"/>
          <w:b/>
          <w:sz w:val="24"/>
        </w:rPr>
      </w:pPr>
      <w:r>
        <w:rPr>
          <w:rFonts w:ascii="Times New Roman" w:hAnsi="Times New Roman" w:cs="Times New Roman"/>
          <w:b/>
          <w:sz w:val="24"/>
        </w:rPr>
        <w:t>8.中标人的推荐原则及标准</w:t>
      </w:r>
    </w:p>
    <w:p w14:paraId="7A65C510">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14:paraId="22CA7923">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14:paraId="3608A92B">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14:paraId="6B579C19">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401D41A1">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14:paraId="51A58F02">
      <w:pPr>
        <w:spacing w:line="360" w:lineRule="auto"/>
        <w:ind w:firstLine="420" w:firstLineChars="200"/>
      </w:pPr>
      <w:r>
        <w:rPr>
          <w:rFonts w:ascii="Times New Roman" w:hAnsi="Times New Roman" w:cs="Times New Roman"/>
          <w:szCs w:val="16"/>
        </w:rPr>
        <w:t>1</w:t>
      </w:r>
      <w:r>
        <w:rPr>
          <w:rFonts w:hint="eastAsia" w:ascii="Times New Roman" w:hAnsi="Times New Roman" w:cs="Times New Roman"/>
          <w:szCs w:val="16"/>
        </w:rPr>
        <w:t>2</w:t>
      </w:r>
      <w:r>
        <w:rPr>
          <w:rFonts w:ascii="Times New Roman" w:hAnsi="Times New Roman" w:cs="Times New Roman"/>
          <w:szCs w:val="16"/>
        </w:rPr>
        <w:t>.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CB063AF">
      <w:pPr>
        <w:widowControl/>
        <w:jc w:val="left"/>
        <w:rPr>
          <w:rFonts w:ascii="Times New Roman" w:hAnsi="Times New Roman" w:cs="Times New Roman"/>
          <w:bCs/>
          <w:sz w:val="24"/>
        </w:rPr>
      </w:pPr>
      <w:r>
        <w:rPr>
          <w:rFonts w:ascii="Times New Roman" w:hAnsi="Times New Roman" w:cs="Times New Roman"/>
          <w:bCs/>
          <w:sz w:val="24"/>
        </w:rPr>
        <w:br w:type="page"/>
      </w:r>
    </w:p>
    <w:p w14:paraId="2D47AFE4">
      <w:pPr>
        <w:ind w:left="420"/>
        <w:jc w:val="center"/>
        <w:rPr>
          <w:b/>
          <w:color w:val="000000"/>
          <w:sz w:val="48"/>
          <w:szCs w:val="48"/>
        </w:rPr>
      </w:pPr>
      <w:bookmarkStart w:id="11" w:name="_Toc28197"/>
      <w:r>
        <w:rPr>
          <w:rFonts w:hint="eastAsia"/>
          <w:b/>
          <w:color w:val="000000"/>
          <w:sz w:val="48"/>
          <w:szCs w:val="48"/>
        </w:rPr>
        <w:t>合肥经纬资产经营管理有限公司FS420蜘蛛式高空平台等处置资产评估服务项目合同</w:t>
      </w:r>
    </w:p>
    <w:p w14:paraId="4F2FCFEA">
      <w:pPr>
        <w:ind w:left="420"/>
        <w:jc w:val="center"/>
        <w:rPr>
          <w:b/>
          <w:color w:val="000000"/>
          <w:sz w:val="48"/>
          <w:szCs w:val="48"/>
        </w:rPr>
      </w:pPr>
      <w:r>
        <w:rPr>
          <w:rFonts w:hint="eastAsia"/>
          <w:b/>
          <w:color w:val="000000"/>
          <w:sz w:val="48"/>
          <w:szCs w:val="48"/>
        </w:rPr>
        <w:t>（供参考）</w:t>
      </w:r>
    </w:p>
    <w:p w14:paraId="736429DD">
      <w:pPr>
        <w:rPr>
          <w:b/>
          <w:color w:val="000000"/>
          <w:sz w:val="52"/>
          <w:szCs w:val="52"/>
        </w:rPr>
      </w:pPr>
    </w:p>
    <w:p w14:paraId="7D49166E">
      <w:pPr>
        <w:widowControl/>
        <w:spacing w:before="109" w:line="440" w:lineRule="atLeast"/>
        <w:ind w:firstLine="640"/>
        <w:rPr>
          <w:rFonts w:ascii="黑体" w:hAnsi="Times New Roman" w:eastAsia="黑体"/>
          <w:color w:val="000000"/>
          <w:kern w:val="0"/>
          <w:sz w:val="32"/>
          <w:szCs w:val="32"/>
        </w:rPr>
      </w:pPr>
    </w:p>
    <w:p w14:paraId="12C99F0A">
      <w:pPr>
        <w:ind w:firstLine="199" w:firstLineChars="95"/>
        <w:rPr>
          <w:rFonts w:ascii="宋体" w:hAnsi="宋体"/>
          <w:color w:val="000000"/>
        </w:rPr>
      </w:pPr>
    </w:p>
    <w:p w14:paraId="0A5E8996">
      <w:pPr>
        <w:ind w:firstLine="199" w:firstLineChars="95"/>
        <w:rPr>
          <w:rFonts w:ascii="宋体" w:hAnsi="宋体"/>
          <w:color w:val="000000"/>
        </w:rPr>
      </w:pPr>
    </w:p>
    <w:p w14:paraId="4B9A56C7">
      <w:pPr>
        <w:ind w:firstLine="199" w:firstLineChars="95"/>
        <w:rPr>
          <w:rFonts w:ascii="宋体" w:hAnsi="宋体"/>
          <w:color w:val="000000"/>
        </w:rPr>
      </w:pPr>
    </w:p>
    <w:p w14:paraId="6CEA5598">
      <w:pPr>
        <w:ind w:firstLine="199" w:firstLineChars="95"/>
        <w:rPr>
          <w:rFonts w:ascii="宋体" w:hAnsi="宋体"/>
          <w:color w:val="000000"/>
        </w:rPr>
      </w:pPr>
    </w:p>
    <w:p w14:paraId="0FF7B4F0">
      <w:pPr>
        <w:ind w:firstLine="199" w:firstLineChars="95"/>
        <w:rPr>
          <w:rFonts w:ascii="宋体" w:hAnsi="宋体"/>
          <w:color w:val="000000"/>
        </w:rPr>
      </w:pPr>
    </w:p>
    <w:p w14:paraId="5FDE123B">
      <w:pPr>
        <w:ind w:firstLine="199" w:firstLineChars="95"/>
        <w:rPr>
          <w:rFonts w:ascii="宋体" w:hAnsi="宋体"/>
          <w:color w:val="000000"/>
        </w:rPr>
      </w:pPr>
    </w:p>
    <w:p w14:paraId="19E4C690">
      <w:pPr>
        <w:ind w:firstLine="199" w:firstLineChars="95"/>
        <w:rPr>
          <w:rFonts w:ascii="宋体" w:hAnsi="宋体"/>
          <w:color w:val="000000"/>
        </w:rPr>
      </w:pPr>
    </w:p>
    <w:p w14:paraId="073BC01F">
      <w:pPr>
        <w:pStyle w:val="4"/>
      </w:pPr>
    </w:p>
    <w:p w14:paraId="3DA045C9"/>
    <w:p w14:paraId="7AE4C99F">
      <w:pPr>
        <w:ind w:firstLine="199" w:firstLineChars="95"/>
        <w:rPr>
          <w:rFonts w:ascii="宋体" w:hAnsi="宋体"/>
          <w:color w:val="000000"/>
        </w:rPr>
      </w:pPr>
    </w:p>
    <w:p w14:paraId="1C062E55">
      <w:pPr>
        <w:pStyle w:val="8"/>
        <w:ind w:firstLine="199" w:firstLineChars="95"/>
        <w:rPr>
          <w:rFonts w:ascii="宋体" w:hAnsi="宋体"/>
          <w:color w:val="000000"/>
        </w:rPr>
      </w:pPr>
    </w:p>
    <w:p w14:paraId="7CC72495">
      <w:pPr>
        <w:pStyle w:val="8"/>
        <w:ind w:firstLine="199" w:firstLineChars="95"/>
        <w:rPr>
          <w:rFonts w:ascii="宋体" w:hAnsi="宋体"/>
          <w:color w:val="000000"/>
        </w:rPr>
      </w:pPr>
    </w:p>
    <w:p w14:paraId="0E2AAFEF">
      <w:pPr>
        <w:pStyle w:val="8"/>
        <w:ind w:firstLine="199" w:firstLineChars="95"/>
        <w:rPr>
          <w:rFonts w:ascii="宋体" w:hAnsi="宋体"/>
          <w:color w:val="000000"/>
        </w:rPr>
      </w:pPr>
    </w:p>
    <w:p w14:paraId="5D884FC6">
      <w:pPr>
        <w:pStyle w:val="8"/>
        <w:ind w:firstLine="199" w:firstLineChars="95"/>
        <w:rPr>
          <w:rFonts w:ascii="宋体" w:hAnsi="宋体"/>
          <w:color w:val="000000"/>
        </w:rPr>
      </w:pPr>
    </w:p>
    <w:p w14:paraId="2D627CC0">
      <w:pPr>
        <w:pStyle w:val="8"/>
        <w:ind w:firstLine="199" w:firstLineChars="95"/>
        <w:rPr>
          <w:rFonts w:ascii="宋体" w:hAnsi="宋体"/>
          <w:color w:val="000000"/>
        </w:rPr>
      </w:pPr>
    </w:p>
    <w:p w14:paraId="263F9F19">
      <w:pPr>
        <w:jc w:val="left"/>
        <w:rPr>
          <w:rFonts w:ascii="宋体" w:hAnsi="宋体"/>
          <w:color w:val="000000"/>
        </w:rPr>
      </w:pPr>
    </w:p>
    <w:p w14:paraId="2181E0B0">
      <w:pPr>
        <w:jc w:val="left"/>
        <w:rPr>
          <w:rFonts w:ascii="宋体" w:hAnsi="宋体"/>
          <w:color w:val="000000"/>
        </w:rPr>
      </w:pPr>
    </w:p>
    <w:p w14:paraId="7E09C9A7">
      <w:pPr>
        <w:ind w:firstLine="562" w:firstLineChars="200"/>
        <w:jc w:val="left"/>
        <w:rPr>
          <w:rFonts w:ascii="宋体" w:hAnsi="宋体"/>
          <w:b/>
          <w:color w:val="000000"/>
          <w:sz w:val="28"/>
          <w:szCs w:val="28"/>
        </w:rPr>
      </w:pPr>
      <w:r>
        <w:rPr>
          <w:rFonts w:hint="eastAsia" w:ascii="宋体" w:hAnsi="宋体"/>
          <w:b/>
          <w:color w:val="000000"/>
          <w:sz w:val="28"/>
          <w:szCs w:val="28"/>
        </w:rPr>
        <w:t>委托人：合肥经纬资产经营管理有限公司</w:t>
      </w:r>
    </w:p>
    <w:p w14:paraId="3E007C28">
      <w:pPr>
        <w:ind w:firstLine="562" w:firstLineChars="200"/>
        <w:jc w:val="left"/>
        <w:rPr>
          <w:rFonts w:ascii="宋体" w:hAnsi="宋体"/>
          <w:color w:val="000000"/>
          <w:sz w:val="28"/>
          <w:szCs w:val="28"/>
          <w:u w:val="single"/>
        </w:rPr>
      </w:pPr>
      <w:r>
        <w:rPr>
          <w:rFonts w:hint="eastAsia" w:ascii="宋体" w:hAnsi="宋体"/>
          <w:b/>
          <w:color w:val="000000"/>
          <w:sz w:val="28"/>
          <w:szCs w:val="28"/>
        </w:rPr>
        <w:t>受托人：</w:t>
      </w:r>
    </w:p>
    <w:p w14:paraId="176659F4">
      <w:pPr>
        <w:ind w:firstLine="551" w:firstLineChars="196"/>
        <w:rPr>
          <w:rFonts w:ascii="宋体" w:hAnsi="宋体" w:cs="宋体"/>
          <w:color w:val="000000"/>
          <w:kern w:val="0"/>
          <w:sz w:val="20"/>
          <w:szCs w:val="20"/>
        </w:rPr>
      </w:pPr>
      <w:r>
        <w:rPr>
          <w:rFonts w:hint="eastAsia" w:ascii="宋体" w:hAnsi="宋体"/>
          <w:b/>
          <w:color w:val="000000"/>
          <w:sz w:val="28"/>
          <w:szCs w:val="28"/>
        </w:rPr>
        <w:t>合同编号：</w:t>
      </w:r>
    </w:p>
    <w:p w14:paraId="40FED01B">
      <w:pPr>
        <w:ind w:firstLine="562" w:firstLineChars="200"/>
        <w:rPr>
          <w:rFonts w:ascii="宋体" w:hAnsi="宋体"/>
          <w:b/>
          <w:color w:val="000000"/>
          <w:sz w:val="28"/>
          <w:szCs w:val="28"/>
          <w:u w:val="single"/>
        </w:rPr>
      </w:pPr>
    </w:p>
    <w:p w14:paraId="388E23F7">
      <w:pPr>
        <w:sectPr>
          <w:pgSz w:w="11906" w:h="16838"/>
          <w:pgMar w:top="1440" w:right="1800" w:bottom="1440" w:left="1800" w:header="851" w:footer="992" w:gutter="0"/>
          <w:cols w:space="425" w:num="1"/>
          <w:docGrid w:type="lines" w:linePitch="312" w:charSpace="0"/>
        </w:sectPr>
      </w:pPr>
    </w:p>
    <w:p w14:paraId="26B464D7">
      <w:pPr>
        <w:spacing w:line="360" w:lineRule="auto"/>
        <w:ind w:firstLine="480" w:firstLineChars="200"/>
        <w:rPr>
          <w:rFonts w:ascii="宋体" w:hAnsi="宋体"/>
          <w:color w:val="000000"/>
          <w:sz w:val="24"/>
        </w:rPr>
        <w:sectPr>
          <w:type w:val="continuous"/>
          <w:pgSz w:w="11906" w:h="16838"/>
          <w:pgMar w:top="1440" w:right="1800" w:bottom="1440" w:left="1800" w:header="851" w:footer="992" w:gutter="0"/>
          <w:cols w:space="425" w:num="1"/>
          <w:docGrid w:type="lines" w:linePitch="312" w:charSpace="0"/>
        </w:sectPr>
      </w:pPr>
    </w:p>
    <w:p w14:paraId="5B62A219">
      <w:pPr>
        <w:pStyle w:val="57"/>
        <w:spacing w:line="531" w:lineRule="exact"/>
        <w:ind w:firstLine="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评估</w:t>
      </w:r>
      <w:r>
        <w:rPr>
          <w:rFonts w:hint="eastAsia" w:asciiTheme="minorEastAsia" w:hAnsiTheme="minorEastAsia" w:eastAsiaTheme="minorEastAsia" w:cstheme="minorEastAsia"/>
          <w:b/>
          <w:sz w:val="28"/>
          <w:szCs w:val="28"/>
        </w:rPr>
        <w:t>业务约定书</w:t>
      </w:r>
    </w:p>
    <w:p w14:paraId="03B11525">
      <w:pPr>
        <w:pStyle w:val="57"/>
        <w:spacing w:line="520" w:lineRule="atLeast"/>
        <w:ind w:firstLine="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委托方（甲方）：</w:t>
      </w:r>
      <w:r>
        <w:rPr>
          <w:rFonts w:hint="eastAsia"/>
          <w:sz w:val="24"/>
          <w:lang w:bidi="ar"/>
        </w:rPr>
        <w:t>合肥经纬资产经营管理有限公司</w:t>
      </w:r>
    </w:p>
    <w:p w14:paraId="04F25C08">
      <w:pPr>
        <w:pStyle w:val="57"/>
        <w:spacing w:line="520" w:lineRule="atLeast"/>
        <w:ind w:firstLine="0"/>
        <w:jc w:val="both"/>
        <w:rPr>
          <w:rFonts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受托方（乙方）：</w:t>
      </w:r>
      <w:r>
        <w:rPr>
          <w:rFonts w:hint="eastAsia" w:asciiTheme="minorEastAsia" w:hAnsiTheme="minorEastAsia" w:eastAsiaTheme="minorEastAsia" w:cstheme="minorEastAsia"/>
          <w:sz w:val="21"/>
          <w:szCs w:val="21"/>
          <w:lang w:val="en-US" w:eastAsia="zh-CN"/>
        </w:rPr>
        <w:t xml:space="preserve">    </w:t>
      </w:r>
    </w:p>
    <w:p w14:paraId="655C323D">
      <w:pPr>
        <w:pStyle w:val="57"/>
        <w:spacing w:line="520" w:lineRule="atLeast"/>
        <w:ind w:firstLine="620"/>
        <w:jc w:val="both"/>
        <w:rPr>
          <w:rFonts w:asciiTheme="minorEastAsia" w:hAnsiTheme="minorEastAsia" w:eastAsiaTheme="minorEastAsia" w:cstheme="minorEastAsia"/>
          <w:sz w:val="21"/>
          <w:szCs w:val="21"/>
          <w:lang w:val="en-US" w:eastAsia="zh-CN"/>
        </w:rPr>
      </w:pPr>
    </w:p>
    <w:p w14:paraId="612DAB2A">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甲乙双方根据《中华人民共和国民法典》及《资产评估执业准则——资产评估委托合同》的规定，为明确双方的权利和义务，经双方协商同意签订本合同。</w:t>
      </w:r>
    </w:p>
    <w:p w14:paraId="3D166EC0">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一、评估目的：</w:t>
      </w:r>
      <w:r>
        <w:rPr>
          <w:rFonts w:hint="eastAsia" w:ascii="Times New Roman" w:hAnsi="Times New Roman" w:cs="Times New Roman"/>
          <w:szCs w:val="21"/>
          <w:u w:val="single"/>
        </w:rPr>
        <w:t>合肥经纬资产经营管理有限公司FS420蜘蛛式高空平台等处置资产拟进行资产处置</w:t>
      </w:r>
      <w:r>
        <w:rPr>
          <w:rFonts w:hint="eastAsia" w:asciiTheme="minorEastAsia" w:hAnsiTheme="minorEastAsia" w:cstheme="minorEastAsia"/>
          <w:szCs w:val="21"/>
        </w:rPr>
        <w:t>，对该经济行为所涉及的资产于评估基准日的市场价值进行评估，本次评估为上述经济行为提供价值参考依据。</w:t>
      </w:r>
    </w:p>
    <w:p w14:paraId="0A564CB1">
      <w:pPr>
        <w:snapToGrid w:val="0"/>
        <w:spacing w:line="520" w:lineRule="atLeast"/>
        <w:ind w:firstLine="422" w:firstLineChars="200"/>
        <w:rPr>
          <w:rFonts w:asciiTheme="minorEastAsia" w:hAnsiTheme="minorEastAsia" w:cstheme="minorEastAsia"/>
          <w:szCs w:val="21"/>
        </w:rPr>
      </w:pPr>
      <w:r>
        <w:rPr>
          <w:rFonts w:hint="eastAsia" w:asciiTheme="minorEastAsia" w:hAnsiTheme="minorEastAsia" w:cstheme="minorEastAsia"/>
          <w:b/>
          <w:szCs w:val="21"/>
        </w:rPr>
        <w:t>二、评估对象和评估范围：</w:t>
      </w:r>
      <w:r>
        <w:rPr>
          <w:rFonts w:hint="eastAsia" w:asciiTheme="minorEastAsia" w:hAnsiTheme="minorEastAsia" w:cstheme="minorEastAsia"/>
          <w:szCs w:val="21"/>
        </w:rPr>
        <w:t>评估对象为</w:t>
      </w:r>
      <w:r>
        <w:rPr>
          <w:rFonts w:hint="eastAsia" w:ascii="Times New Roman" w:hAnsi="Times New Roman" w:cs="Times New Roman"/>
          <w:szCs w:val="21"/>
          <w:u w:val="single"/>
        </w:rPr>
        <w:t>合肥经纬资产经营管理有限公司FS420蜘蛛式高空平台等处置资产评估服务项目</w:t>
      </w:r>
      <w:r>
        <w:rPr>
          <w:rFonts w:hint="eastAsia" w:asciiTheme="minorEastAsia" w:hAnsiTheme="minorEastAsia" w:cstheme="minorEastAsia"/>
          <w:szCs w:val="21"/>
        </w:rPr>
        <w:t>资产的市场价值；评估范围为</w:t>
      </w:r>
      <w:r>
        <w:rPr>
          <w:rFonts w:hint="eastAsia" w:ascii="Times New Roman" w:hAnsi="Times New Roman" w:cs="Times New Roman"/>
          <w:szCs w:val="21"/>
          <w:u w:val="single"/>
        </w:rPr>
        <w:t>合肥经纬资产经营管理有限公司FS420蜘蛛式高空平台等处置资产评估服务项目</w:t>
      </w:r>
      <w:r>
        <w:rPr>
          <w:rFonts w:hint="eastAsia" w:asciiTheme="minorEastAsia" w:hAnsiTheme="minorEastAsia" w:cstheme="minorEastAsia"/>
          <w:szCs w:val="21"/>
        </w:rPr>
        <w:t>资产，详见附件，具体以现场实际为准。</w:t>
      </w:r>
    </w:p>
    <w:p w14:paraId="0923A5C4">
      <w:pPr>
        <w:snapToGrid w:val="0"/>
        <w:spacing w:line="520" w:lineRule="atLeast"/>
        <w:ind w:firstLine="422" w:firstLineChars="200"/>
        <w:rPr>
          <w:rFonts w:asciiTheme="minorEastAsia" w:hAnsiTheme="minorEastAsia" w:cstheme="minorEastAsia"/>
          <w:szCs w:val="21"/>
        </w:rPr>
      </w:pPr>
      <w:r>
        <w:rPr>
          <w:rFonts w:hint="eastAsia" w:asciiTheme="minorEastAsia" w:hAnsiTheme="minorEastAsia" w:cstheme="minorEastAsia"/>
          <w:b/>
          <w:szCs w:val="21"/>
        </w:rPr>
        <w:t>三、评估基准日：</w:t>
      </w:r>
      <w:r>
        <w:rPr>
          <w:rFonts w:hint="eastAsia" w:asciiTheme="minorEastAsia" w:hAnsiTheme="minorEastAsia" w:cstheme="minorEastAsia"/>
          <w:szCs w:val="21"/>
        </w:rPr>
        <w:t xml:space="preserve"> 2025年  月   日</w:t>
      </w:r>
    </w:p>
    <w:p w14:paraId="46DE8858">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四、资产评估报告适用范围：</w:t>
      </w:r>
    </w:p>
    <w:p w14:paraId="29EFEF45">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1、资产评估报告仅供甲方和法律、行政法规规定的使用人使用，甲方可以授权其他第三方单位使用本资产评估报告，除此之外，其他任何机构和个人不能成为资产评估报告使用人。</w:t>
      </w:r>
    </w:p>
    <w:p w14:paraId="11DF924F">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14:paraId="07967F4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3、甲方及其他资产评估报告使用人应当在资产评估报告载明的评估结论使用有效期内使用资产评估报告。</w:t>
      </w:r>
    </w:p>
    <w:p w14:paraId="08E35E90">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4、未经甲方书面许可，乙方及其专业人员不得将资产评估报告的内容向第三方提供或公开，法律、行政法规另有规定的除外。</w:t>
      </w:r>
    </w:p>
    <w:p w14:paraId="7699BD19">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5、未征得乙方同意，甲方及其他资产评估报告使用人不得将资产评估报告的内容摘抄、引用或者披露于公开媒体，法律、行政法规规定以及相关当事人另有约定的除外。</w:t>
      </w:r>
    </w:p>
    <w:p w14:paraId="18FE6F8B">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五、资产评估报告提交期限和方式：</w:t>
      </w:r>
    </w:p>
    <w:p w14:paraId="12795326">
      <w:pPr>
        <w:widowControl/>
        <w:snapToGrid w:val="0"/>
        <w:spacing w:line="520" w:lineRule="atLeast"/>
        <w:ind w:firstLine="420" w:firstLineChars="200"/>
        <w:rPr>
          <w:rFonts w:asciiTheme="minorEastAsia" w:hAnsiTheme="minorEastAsia" w:cstheme="minorEastAsia"/>
          <w:szCs w:val="21"/>
          <w:highlight w:val="yellow"/>
        </w:rPr>
      </w:pPr>
      <w:r>
        <w:rPr>
          <w:rFonts w:hint="eastAsia" w:asciiTheme="minorEastAsia" w:hAnsiTheme="minorEastAsia" w:cstheme="minorEastAsia"/>
          <w:szCs w:val="21"/>
        </w:rPr>
        <w:t>1、提交期限：自甲方和其他相关当事人完全、如实地提供乙方评估所需所有资料后，在</w:t>
      </w:r>
      <w:r>
        <w:rPr>
          <w:rFonts w:hint="eastAsia" w:asciiTheme="minorEastAsia" w:hAnsiTheme="minorEastAsia" w:cstheme="minorEastAsia"/>
          <w:szCs w:val="21"/>
          <w:highlight w:val="none"/>
        </w:rPr>
        <w:t>约定时间内将评估报告书初稿报甲方审核，在获取甲方意见后</w:t>
      </w:r>
      <w:r>
        <w:rPr>
          <w:rFonts w:asciiTheme="minorEastAsia" w:hAnsiTheme="minorEastAsia" w:cstheme="minorEastAsia"/>
          <w:szCs w:val="21"/>
          <w:highlight w:val="none"/>
        </w:rPr>
        <w:t>72小时内出具正式评估报告；但</w:t>
      </w:r>
      <w:r>
        <w:rPr>
          <w:rFonts w:hint="eastAsia"/>
          <w:highlight w:val="none"/>
        </w:rPr>
        <w:t>在</w:t>
      </w:r>
      <w:r>
        <w:rPr>
          <w:rFonts w:hint="eastAsia" w:asciiTheme="minorEastAsia" w:hAnsiTheme="minorEastAsia" w:cstheme="minorEastAsia"/>
          <w:szCs w:val="21"/>
          <w:highlight w:val="none"/>
        </w:rPr>
        <w:t>签订委托合同后，正式评估报告出具时间不得超过</w:t>
      </w:r>
      <w:r>
        <w:rPr>
          <w:rFonts w:asciiTheme="minorEastAsia" w:hAnsiTheme="minorEastAsia" w:cstheme="minorEastAsia"/>
          <w:szCs w:val="21"/>
          <w:highlight w:val="none"/>
        </w:rPr>
        <w:t>7个工作日。</w:t>
      </w:r>
    </w:p>
    <w:p w14:paraId="714FE776">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2、提交方式：资产评估报告的电子版及纸质版一式</w:t>
      </w:r>
      <w:r>
        <w:rPr>
          <w:rFonts w:hint="eastAsia" w:asciiTheme="minorEastAsia" w:hAnsiTheme="minorEastAsia" w:cstheme="minorEastAsia"/>
          <w:szCs w:val="21"/>
          <w:u w:val="single"/>
        </w:rPr>
        <w:t xml:space="preserve">  4 </w:t>
      </w:r>
      <w:r>
        <w:rPr>
          <w:rFonts w:hint="eastAsia" w:asciiTheme="minorEastAsia" w:hAnsiTheme="minorEastAsia" w:cstheme="minorEastAsia"/>
          <w:szCs w:val="21"/>
        </w:rPr>
        <w:t>份，电子版发送甲方指定邮箱、纸质版以邮寄方式或现场送达甲方，乙方无论以何种方式，必须保证甲方明确获取。</w:t>
      </w:r>
    </w:p>
    <w:p w14:paraId="537C837A">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3、乙方应当对被评估对象进行全面清查，根据甲方提供的资产清单，核实资产账面与实际是否相符，并据此作出鉴定。</w:t>
      </w:r>
    </w:p>
    <w:p w14:paraId="6F3A38BE">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4、乙方应充分根据资产原值、净值、新旧程度、重置成本、获利能力等因素选用合适的资产评估方法；并优先在被评估资产将被持续使用的假设前提下，进行评估。</w:t>
      </w:r>
    </w:p>
    <w:p w14:paraId="079185FE">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六、评估服务费：</w:t>
      </w:r>
    </w:p>
    <w:p w14:paraId="0B70AB00">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1、本合同评估服务费：评估服务费为   元（大写：   ）。</w:t>
      </w:r>
    </w:p>
    <w:p w14:paraId="1A09156A">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2、上述评估服务费包括本次评估全部内容及工期的成本、利润、税金、运输费、损耗等所有费用，除此之外，甲方无需就本合同项下服务向乙方或第三方支付任何其他费用。</w:t>
      </w:r>
    </w:p>
    <w:p w14:paraId="026B6150">
      <w:pPr>
        <w:adjustRightInd w:val="0"/>
        <w:snapToGrid w:val="0"/>
        <w:spacing w:line="520" w:lineRule="exact"/>
        <w:ind w:firstLine="420" w:firstLineChars="200"/>
        <w:jc w:val="left"/>
        <w:rPr>
          <w:rFonts w:asciiTheme="minorEastAsia" w:hAnsiTheme="minorEastAsia" w:cstheme="minorEastAsia"/>
          <w:szCs w:val="21"/>
        </w:rPr>
      </w:pPr>
      <w:r>
        <w:rPr>
          <w:rFonts w:hint="eastAsia" w:asciiTheme="minorEastAsia" w:hAnsiTheme="minorEastAsia" w:cstheme="minorEastAsia"/>
          <w:szCs w:val="21"/>
        </w:rPr>
        <w:t>3、付款方式：</w:t>
      </w:r>
      <w:r>
        <w:rPr>
          <w:rFonts w:hint="eastAsia"/>
        </w:rPr>
        <w:t>乙方完成全部评估并出具符合甲方要求的评估报告后30日内一次性支付评估费用。</w:t>
      </w:r>
      <w:r>
        <w:rPr>
          <w:rFonts w:hint="eastAsia" w:asciiTheme="minorEastAsia" w:hAnsiTheme="minorEastAsia" w:cstheme="minorEastAsia"/>
          <w:spacing w:val="6"/>
          <w:szCs w:val="21"/>
        </w:rPr>
        <w:t>在甲方付款前，乙方需向甲方交付等额的增值税专用发票，否则甲方有权拒绝或者延迟付款，且不承担违约责任。</w:t>
      </w:r>
    </w:p>
    <w:p w14:paraId="6E695A4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4、若评估范围或评估基准日发生变化，双方应签订补充协议或重新签订资产评估委托合同，评估服务费另议。</w:t>
      </w:r>
    </w:p>
    <w:p w14:paraId="3BDAC95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5、因甲方原因造成评估业务中止，甲方应按乙方已完成的评估工作量向乙方支付相应的评估服务费。</w:t>
      </w:r>
    </w:p>
    <w:p w14:paraId="519DC0FF">
      <w:pPr>
        <w:snapToGrid w:val="0"/>
        <w:spacing w:line="520" w:lineRule="atLeast"/>
        <w:ind w:firstLine="420" w:firstLineChars="200"/>
        <w:rPr>
          <w:rFonts w:asciiTheme="minorEastAsia" w:hAnsiTheme="minorEastAsia" w:cstheme="minorEastAsia"/>
          <w:szCs w:val="21"/>
        </w:rPr>
      </w:pPr>
      <w:r>
        <w:rPr>
          <w:rFonts w:asciiTheme="minorEastAsia" w:hAnsiTheme="minorEastAsia" w:cstheme="minorEastAsia"/>
          <w:szCs w:val="21"/>
        </w:rPr>
        <w:t>6</w:t>
      </w:r>
      <w:r>
        <w:rPr>
          <w:rFonts w:hint="eastAsia" w:asciiTheme="minorEastAsia" w:hAnsiTheme="minorEastAsia" w:cstheme="minorEastAsia"/>
          <w:szCs w:val="21"/>
        </w:rPr>
        <w:t>、甲方所支付的评估服务费中包含乙方利用自主开发的云数据库系统、评估工具软件、底稿系统软件和项目管理系统等高技术手段提供高效服务的费用。</w:t>
      </w:r>
    </w:p>
    <w:p w14:paraId="49D91424">
      <w:pPr>
        <w:snapToGrid w:val="0"/>
        <w:spacing w:line="520" w:lineRule="atLeast"/>
        <w:ind w:firstLine="420" w:firstLineChars="200"/>
        <w:rPr>
          <w:rFonts w:asciiTheme="minorEastAsia" w:hAnsiTheme="minorEastAsia" w:cstheme="minorEastAsia"/>
          <w:szCs w:val="21"/>
        </w:rPr>
      </w:pPr>
      <w:r>
        <w:rPr>
          <w:rFonts w:asciiTheme="minorEastAsia" w:hAnsiTheme="minorEastAsia" w:cstheme="minorEastAsia"/>
          <w:szCs w:val="21"/>
        </w:rPr>
        <w:t>7</w:t>
      </w:r>
      <w:r>
        <w:rPr>
          <w:rFonts w:hint="eastAsia" w:asciiTheme="minorEastAsia" w:hAnsiTheme="minorEastAsia" w:cstheme="minorEastAsia"/>
          <w:szCs w:val="21"/>
        </w:rPr>
        <w:t>、评估服务费的支付方式为转账汇款。</w:t>
      </w:r>
    </w:p>
    <w:p w14:paraId="1D07511B">
      <w:pPr>
        <w:snapToGrid w:val="0"/>
        <w:spacing w:line="520" w:lineRule="atLeast"/>
        <w:ind w:firstLine="420" w:firstLineChars="200"/>
        <w:rPr>
          <w:rFonts w:asciiTheme="minorEastAsia" w:hAnsiTheme="minorEastAsia" w:cstheme="minorEastAsia"/>
          <w:szCs w:val="21"/>
        </w:rPr>
      </w:pPr>
      <w:r>
        <w:rPr>
          <w:rFonts w:asciiTheme="minorEastAsia" w:hAnsiTheme="minorEastAsia" w:cstheme="minorEastAsia"/>
          <w:szCs w:val="21"/>
        </w:rPr>
        <w:t>8</w:t>
      </w:r>
      <w:r>
        <w:rPr>
          <w:rFonts w:hint="eastAsia" w:asciiTheme="minorEastAsia" w:hAnsiTheme="minorEastAsia" w:cstheme="minorEastAsia"/>
          <w:szCs w:val="21"/>
        </w:rPr>
        <w:t>、乙方可接受的支付币种为人民币。</w:t>
      </w:r>
    </w:p>
    <w:p w14:paraId="4CDF3A5C">
      <w:pPr>
        <w:snapToGrid w:val="0"/>
        <w:spacing w:line="520" w:lineRule="atLeast"/>
        <w:ind w:firstLine="420" w:firstLineChars="200"/>
        <w:rPr>
          <w:rFonts w:asciiTheme="minorEastAsia" w:hAnsiTheme="minorEastAsia" w:cstheme="minorEastAsia"/>
          <w:szCs w:val="21"/>
        </w:rPr>
      </w:pPr>
      <w:r>
        <w:rPr>
          <w:rFonts w:asciiTheme="minorEastAsia" w:hAnsiTheme="minorEastAsia" w:cstheme="minorEastAsia"/>
          <w:szCs w:val="21"/>
        </w:rPr>
        <w:t>9</w:t>
      </w:r>
      <w:r>
        <w:rPr>
          <w:rFonts w:hint="eastAsia" w:asciiTheme="minorEastAsia" w:hAnsiTheme="minorEastAsia" w:cstheme="minorEastAsia"/>
          <w:szCs w:val="21"/>
        </w:rPr>
        <w:t>、乙方收款账户信息如下：</w:t>
      </w:r>
    </w:p>
    <w:p w14:paraId="6E0D113F">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开户行：</w:t>
      </w:r>
    </w:p>
    <w:p w14:paraId="4A7F981E">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账户名称：</w:t>
      </w:r>
    </w:p>
    <w:p w14:paraId="447ABD1D">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账号：</w:t>
      </w:r>
    </w:p>
    <w:p w14:paraId="78F77D20">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5DD99213">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七、关于发票的特别约定：</w:t>
      </w:r>
    </w:p>
    <w:p w14:paraId="2EF07A5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1、发票上的购买方应与评估服务费支付方一致，若评估服务费支付方、支付金额等发生变化的，应签订补充协议另行约定，并及时更换发票，否则甲方有权拒绝付款且不承担违约责任。</w:t>
      </w:r>
    </w:p>
    <w:p w14:paraId="5C442E81">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八、双方权利和义务：</w:t>
      </w:r>
    </w:p>
    <w:p w14:paraId="6228C413">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名、盖章或者法律允许的其他方式进行确认。</w:t>
      </w:r>
    </w:p>
    <w:p w14:paraId="5724EC85">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2、甲方应当为乙方及其专业人员执行评估业务提供必要的工作条件和协助；甲方应当根据评估业务需要，负责乙方及其专业人员与相关当事人之间的协调。 </w:t>
      </w:r>
    </w:p>
    <w:p w14:paraId="230C2542">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3、甲方应当按照本合同第四条的约定恰当使用资产评估报告。</w:t>
      </w:r>
    </w:p>
    <w:p w14:paraId="09BB8404">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4、乙方有责任按照本合同的约定按时按质完成资产评估工作。</w:t>
      </w:r>
    </w:p>
    <w:p w14:paraId="06EABF4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5、乙方及其专业人员应当遵守相关法律、行政法规和资产评估准则，对评估对象在评估基准日特定目的下的价值进行分析和估算并出具资产评估报告。</w:t>
      </w:r>
    </w:p>
    <w:p w14:paraId="3A94E506">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6、乙方应当按照《国有资产评估管理办法》（国务院令第91号）等开展评估工作，并出具符合《企业国有资产评估报告指南》（中评协[2017]42号）的规定的资产评估报告。</w:t>
      </w:r>
    </w:p>
    <w:p w14:paraId="7329DCAC">
      <w:pPr>
        <w:pStyle w:val="58"/>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rPr>
        <w:t>7.乙方对甲方及相关当事人内部资料、商业秘密、估值结果及约定的保密事项有保守秘密的义务。</w:t>
      </w:r>
    </w:p>
    <w:p w14:paraId="18339079">
      <w:pPr>
        <w:pStyle w:val="58"/>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rPr>
        <w:t>8.当甲方认定乙方委派的评估专业人员不足以妥善履行评估职责时，乙方应及时更换评估人员。</w:t>
      </w:r>
    </w:p>
    <w:p w14:paraId="1D1E35C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双方如不履行上述义务，视为违约。</w:t>
      </w:r>
    </w:p>
    <w:p w14:paraId="1A1B3EA8">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九、双方违约责任：</w:t>
      </w:r>
    </w:p>
    <w:p w14:paraId="492698C9">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1、甲方若无正当理由拒绝向乙方支付评估服务费，乙方有权向甲方催要评估服务费，若甲方迟延或拒绝付款超过本合同约定的付款期限30日，乙方有权停止工作。</w:t>
      </w:r>
    </w:p>
    <w:p w14:paraId="461EDC06">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2、乙方未同甲方协商擅自变更或解除本合同，应全额返回甲方已支付的评估服务费用，并且乙方须承担甲方因此产生的一切损失。但本合同第十条第2款和第3款所列情形除外。</w:t>
      </w:r>
    </w:p>
    <w:p w14:paraId="0242DEF4">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3、甲方未及时向乙方提供资产评估所需的文件、资料，或提供的文件和资料不真实，因此产生的不良后果由甲方负责，但乙方如未及时要求甲方补充材料而产生的不良后果乙方应承担相应责任。</w:t>
      </w:r>
    </w:p>
    <w:p w14:paraId="0D57EDF7">
      <w:pPr>
        <w:pStyle w:val="59"/>
        <w:adjustRightInd w:val="0"/>
        <w:snapToGrid w:val="0"/>
        <w:spacing w:line="520" w:lineRule="atLeast"/>
        <w:rPr>
          <w:rFonts w:asciiTheme="minorEastAsia" w:hAnsiTheme="minorEastAsia" w:cstheme="minorEastAsia"/>
          <w:szCs w:val="21"/>
        </w:rPr>
      </w:pPr>
      <w:r>
        <w:rPr>
          <w:rFonts w:hint="eastAsia" w:asciiTheme="minorEastAsia" w:hAnsiTheme="minorEastAsia" w:cstheme="minorEastAsia"/>
          <w:szCs w:val="21"/>
        </w:rPr>
        <w:t>4.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14:paraId="5B7225D9">
      <w:pPr>
        <w:pStyle w:val="22"/>
        <w:spacing w:line="520" w:lineRule="atLeast"/>
        <w:ind w:left="0" w:leftChars="0"/>
        <w:rPr>
          <w:rFonts w:asciiTheme="minorEastAsia" w:hAnsiTheme="minorEastAsia" w:cstheme="minorEastAsia"/>
          <w:szCs w:val="21"/>
        </w:rPr>
      </w:pPr>
      <w:r>
        <w:rPr>
          <w:rFonts w:hint="eastAsia" w:asciiTheme="minorEastAsia" w:hAnsiTheme="minorEastAsia" w:cstheme="minorEastAsia"/>
          <w:szCs w:val="21"/>
        </w:rPr>
        <w:t>5.乙方或其工作人员违反信息保密义务给甲方造成损失的，乙方应承担赔偿责任；乙方报告出现错误给甲方或合法使用报告的第三方造成损失的，乙方应承担赔偿责任。</w:t>
      </w:r>
    </w:p>
    <w:p w14:paraId="533FCE5B">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十、双方争议解决及其他：</w:t>
      </w:r>
    </w:p>
    <w:p w14:paraId="13F85C87">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1、本合同经双方协商一致可以终止或解除。</w:t>
      </w:r>
    </w:p>
    <w:p w14:paraId="35A96F9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14:paraId="4E63AA8F">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3、甲方要求乙方出具虚假资产评估报告或者有其他非法干预评估结论情形的，乙方有权单方解除本合同，甲方仍需按照乙方已开展资产评估业务的时间、进度，或者已经完成的工作量支付相应的评估服务费。</w:t>
      </w:r>
    </w:p>
    <w:p w14:paraId="7493DD01">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4、本合同未明确的内容或未尽事宜由双方协商，协商达成一致后以书面形式作为本合同的附件与本合同有同等的法律效力。</w:t>
      </w:r>
    </w:p>
    <w:p w14:paraId="17152AEE">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5、因本合同</w:t>
      </w:r>
      <w:r>
        <w:rPr>
          <w:rFonts w:hint="eastAsia" w:asciiTheme="minorEastAsia" w:hAnsiTheme="minorEastAsia" w:cstheme="minorEastAsia"/>
          <w:szCs w:val="21"/>
        </w:rPr>
        <w:t>产生</w:t>
      </w:r>
      <w:r>
        <w:rPr>
          <w:rFonts w:hint="eastAsia" w:asciiTheme="minorEastAsia" w:hAnsiTheme="minorEastAsia" w:cstheme="minorEastAsia"/>
          <w:kern w:val="32"/>
          <w:szCs w:val="21"/>
        </w:rPr>
        <w:t>的争议由双方协商解决，协商不成时，任何一方可向甲方所在地有管辖权的人民法院起诉。</w:t>
      </w:r>
    </w:p>
    <w:p w14:paraId="6467DB16">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6、本合同经双方代表签名，并加盖单位公章或合同专用章后，即发生法律效力。</w:t>
      </w:r>
    </w:p>
    <w:p w14:paraId="5607CBE8">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7、本合同正本一式陆份，甲乙双方各执叁份，具有同等法律效力。</w:t>
      </w:r>
    </w:p>
    <w:p w14:paraId="5D08D761">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8、如遇到国家有关政策调整、法律修改及其他不可抗力事件，导致甲、乙双方或任何一方无法履行本合同，受到不可抗力导致无法履行合同义务的一方应该及时书面通知守约方，同时前述“无法履行合同义务”不视为违约情形。一旦不可抗力情形消除，应立即恢复对合同的履行。所遗留问题由双方协商解决。</w:t>
      </w:r>
    </w:p>
    <w:p w14:paraId="2AE65B7D">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9、本合同中“甲方代表”“乙方代表”特指合同当事人双方企业法定代表人或法定代表人的授权人。</w:t>
      </w:r>
    </w:p>
    <w:p w14:paraId="6845FCC0">
      <w:pPr>
        <w:pStyle w:val="22"/>
        <w:ind w:left="0" w:leftChars="0"/>
        <w:rPr>
          <w:rFonts w:asciiTheme="minorEastAsia" w:hAnsiTheme="minorEastAsia" w:cstheme="minorEastAsia"/>
          <w:szCs w:val="21"/>
        </w:rPr>
      </w:pPr>
      <w:r>
        <w:rPr>
          <w:rFonts w:hint="eastAsia" w:asciiTheme="minorEastAsia" w:hAnsiTheme="minorEastAsia" w:cstheme="minorEastAsia"/>
          <w:szCs w:val="21"/>
        </w:rPr>
        <w:t>10、下列询价文件及有关附件是本合同不可分割的组成部分，并构成一个整体，需综合解释、相互补充。如果下列文件内容出现不一致的情形，组成本合同的多个文件的优先适用及解释的顺序如下：</w:t>
      </w:r>
    </w:p>
    <w:p w14:paraId="6483105C">
      <w:pPr>
        <w:pStyle w:val="22"/>
        <w:ind w:left="0" w:leftChars="0"/>
        <w:rPr>
          <w:rFonts w:asciiTheme="minorEastAsia" w:hAnsiTheme="minorEastAsia" w:cstheme="minorEastAsia"/>
          <w:szCs w:val="21"/>
        </w:rPr>
      </w:pPr>
      <w:r>
        <w:rPr>
          <w:rFonts w:hint="eastAsia" w:asciiTheme="minorEastAsia" w:hAnsiTheme="minorEastAsia" w:cstheme="minorEastAsia"/>
          <w:szCs w:val="21"/>
        </w:rPr>
        <w:t>（1）本合同及其补充合同、变更协议；</w:t>
      </w:r>
    </w:p>
    <w:p w14:paraId="0FDFF89C">
      <w:pPr>
        <w:pStyle w:val="22"/>
        <w:ind w:left="0" w:leftChars="0"/>
        <w:rPr>
          <w:rFonts w:asciiTheme="minorEastAsia" w:hAnsiTheme="minorEastAsia" w:cstheme="minorEastAsia"/>
          <w:szCs w:val="21"/>
        </w:rPr>
      </w:pPr>
      <w:r>
        <w:rPr>
          <w:rFonts w:hint="eastAsia" w:asciiTheme="minorEastAsia" w:hAnsiTheme="minorEastAsia" w:cstheme="minorEastAsia"/>
          <w:szCs w:val="21"/>
        </w:rPr>
        <w:t>（2）成交（中标）通知书；</w:t>
      </w:r>
    </w:p>
    <w:p w14:paraId="0F48B9B1">
      <w:pPr>
        <w:pStyle w:val="22"/>
        <w:ind w:left="0" w:leftChars="0"/>
        <w:rPr>
          <w:rFonts w:asciiTheme="minorEastAsia" w:hAnsiTheme="minorEastAsia" w:cstheme="minorEastAsia"/>
          <w:szCs w:val="21"/>
        </w:rPr>
      </w:pPr>
      <w:r>
        <w:rPr>
          <w:rFonts w:hint="eastAsia" w:asciiTheme="minorEastAsia" w:hAnsiTheme="minorEastAsia" w:cstheme="minorEastAsia"/>
          <w:szCs w:val="21"/>
        </w:rPr>
        <w:t>（3）经甲方确认的乙方承诺书；</w:t>
      </w:r>
    </w:p>
    <w:p w14:paraId="1FAB962E">
      <w:pPr>
        <w:pStyle w:val="22"/>
        <w:ind w:left="0" w:leftChars="0"/>
        <w:rPr>
          <w:rFonts w:asciiTheme="minorEastAsia" w:hAnsiTheme="minorEastAsia" w:cstheme="minorEastAsia"/>
          <w:szCs w:val="21"/>
        </w:rPr>
      </w:pPr>
      <w:r>
        <w:rPr>
          <w:rFonts w:hint="eastAsia" w:asciiTheme="minorEastAsia" w:hAnsiTheme="minorEastAsia" w:cstheme="minorEastAsia"/>
          <w:szCs w:val="21"/>
        </w:rPr>
        <w:t>（4）询价文件（含澄清或者修改文件）；</w:t>
      </w:r>
    </w:p>
    <w:p w14:paraId="5F49B346">
      <w:pPr>
        <w:pStyle w:val="22"/>
        <w:ind w:left="0" w:leftChars="0"/>
        <w:rPr>
          <w:rFonts w:asciiTheme="minorEastAsia" w:hAnsiTheme="minorEastAsia" w:cstheme="minorEastAsia"/>
          <w:szCs w:val="21"/>
        </w:rPr>
      </w:pPr>
      <w:r>
        <w:rPr>
          <w:rFonts w:hint="eastAsia" w:asciiTheme="minorEastAsia" w:hAnsiTheme="minorEastAsia" w:cstheme="minorEastAsia"/>
          <w:szCs w:val="21"/>
        </w:rPr>
        <w:t>（5）投标文件；</w:t>
      </w:r>
    </w:p>
    <w:p w14:paraId="2594A446">
      <w:pPr>
        <w:pStyle w:val="22"/>
        <w:ind w:left="0" w:leftChars="0"/>
        <w:rPr>
          <w:rFonts w:asciiTheme="minorEastAsia" w:hAnsiTheme="minorEastAsia" w:cstheme="minorEastAsia"/>
          <w:szCs w:val="21"/>
        </w:rPr>
      </w:pPr>
      <w:r>
        <w:rPr>
          <w:rFonts w:hint="eastAsia" w:asciiTheme="minorEastAsia" w:hAnsiTheme="minorEastAsia" w:cstheme="minorEastAsia"/>
          <w:szCs w:val="21"/>
        </w:rPr>
        <w:t>（6）其他相关询价文件。</w:t>
      </w:r>
    </w:p>
    <w:tbl>
      <w:tblPr>
        <w:tblStyle w:val="23"/>
        <w:tblW w:w="8718" w:type="dxa"/>
        <w:tblInd w:w="108" w:type="dxa"/>
        <w:tblLayout w:type="autofit"/>
        <w:tblCellMar>
          <w:top w:w="0" w:type="dxa"/>
          <w:left w:w="108" w:type="dxa"/>
          <w:bottom w:w="0" w:type="dxa"/>
          <w:right w:w="108" w:type="dxa"/>
        </w:tblCellMar>
      </w:tblPr>
      <w:tblGrid>
        <w:gridCol w:w="4536"/>
        <w:gridCol w:w="4182"/>
      </w:tblGrid>
      <w:tr w14:paraId="430620D0">
        <w:tblPrEx>
          <w:tblCellMar>
            <w:top w:w="0" w:type="dxa"/>
            <w:left w:w="108" w:type="dxa"/>
            <w:bottom w:w="0" w:type="dxa"/>
            <w:right w:w="108" w:type="dxa"/>
          </w:tblCellMar>
        </w:tblPrEx>
        <w:tc>
          <w:tcPr>
            <w:tcW w:w="4536" w:type="dxa"/>
          </w:tcPr>
          <w:p w14:paraId="565D055D">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 xml:space="preserve">甲方（盖章）： </w:t>
            </w:r>
          </w:p>
        </w:tc>
        <w:tc>
          <w:tcPr>
            <w:tcW w:w="4182" w:type="dxa"/>
          </w:tcPr>
          <w:p w14:paraId="78DA83C1">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乙方（盖章）：</w:t>
            </w:r>
          </w:p>
        </w:tc>
      </w:tr>
      <w:tr w14:paraId="51A9118D">
        <w:tblPrEx>
          <w:tblCellMar>
            <w:top w:w="0" w:type="dxa"/>
            <w:left w:w="108" w:type="dxa"/>
            <w:bottom w:w="0" w:type="dxa"/>
            <w:right w:w="108" w:type="dxa"/>
          </w:tblCellMar>
        </w:tblPrEx>
        <w:trPr>
          <w:trHeight w:val="620" w:hRule="atLeast"/>
        </w:trPr>
        <w:tc>
          <w:tcPr>
            <w:tcW w:w="4536" w:type="dxa"/>
          </w:tcPr>
          <w:p w14:paraId="4A8E636A">
            <w:pPr>
              <w:snapToGrid w:val="0"/>
              <w:spacing w:after="120"/>
              <w:rPr>
                <w:rFonts w:asciiTheme="minorEastAsia" w:hAnsiTheme="minorEastAsia" w:cstheme="minorEastAsia"/>
                <w:spacing w:val="10"/>
                <w:szCs w:val="21"/>
              </w:rPr>
            </w:pPr>
          </w:p>
        </w:tc>
        <w:tc>
          <w:tcPr>
            <w:tcW w:w="4182" w:type="dxa"/>
          </w:tcPr>
          <w:p w14:paraId="672C77A9">
            <w:pPr>
              <w:snapToGrid w:val="0"/>
              <w:spacing w:after="120"/>
              <w:rPr>
                <w:rFonts w:asciiTheme="minorEastAsia" w:hAnsiTheme="minorEastAsia" w:cstheme="minorEastAsia"/>
                <w:spacing w:val="10"/>
                <w:szCs w:val="21"/>
              </w:rPr>
            </w:pPr>
          </w:p>
        </w:tc>
      </w:tr>
      <w:tr w14:paraId="68BED687">
        <w:tblPrEx>
          <w:tblCellMar>
            <w:top w:w="0" w:type="dxa"/>
            <w:left w:w="108" w:type="dxa"/>
            <w:bottom w:w="0" w:type="dxa"/>
            <w:right w:w="108" w:type="dxa"/>
          </w:tblCellMar>
        </w:tblPrEx>
        <w:tc>
          <w:tcPr>
            <w:tcW w:w="4536" w:type="dxa"/>
          </w:tcPr>
          <w:p w14:paraId="3AFFB65C">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甲方代表（签名）：</w:t>
            </w:r>
          </w:p>
        </w:tc>
        <w:tc>
          <w:tcPr>
            <w:tcW w:w="4182" w:type="dxa"/>
          </w:tcPr>
          <w:p w14:paraId="18264FA3">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乙方代表（签名）：</w:t>
            </w:r>
          </w:p>
        </w:tc>
      </w:tr>
      <w:tr w14:paraId="394B34EE">
        <w:tblPrEx>
          <w:tblCellMar>
            <w:top w:w="0" w:type="dxa"/>
            <w:left w:w="108" w:type="dxa"/>
            <w:bottom w:w="0" w:type="dxa"/>
            <w:right w:w="108" w:type="dxa"/>
          </w:tblCellMar>
        </w:tblPrEx>
        <w:trPr>
          <w:trHeight w:val="593" w:hRule="atLeast"/>
        </w:trPr>
        <w:tc>
          <w:tcPr>
            <w:tcW w:w="4536" w:type="dxa"/>
          </w:tcPr>
          <w:p w14:paraId="20FEBB05">
            <w:pPr>
              <w:snapToGrid w:val="0"/>
              <w:spacing w:after="120"/>
              <w:rPr>
                <w:rFonts w:asciiTheme="minorEastAsia" w:hAnsiTheme="minorEastAsia" w:cstheme="minorEastAsia"/>
                <w:spacing w:val="10"/>
                <w:szCs w:val="21"/>
              </w:rPr>
            </w:pPr>
          </w:p>
        </w:tc>
        <w:tc>
          <w:tcPr>
            <w:tcW w:w="4182" w:type="dxa"/>
          </w:tcPr>
          <w:p w14:paraId="2BC8A302">
            <w:pPr>
              <w:snapToGrid w:val="0"/>
              <w:spacing w:after="120"/>
              <w:rPr>
                <w:rFonts w:asciiTheme="minorEastAsia" w:hAnsiTheme="minorEastAsia" w:cstheme="minorEastAsia"/>
                <w:spacing w:val="10"/>
                <w:szCs w:val="21"/>
              </w:rPr>
            </w:pPr>
          </w:p>
        </w:tc>
      </w:tr>
      <w:tr w14:paraId="0B21FE58">
        <w:tblPrEx>
          <w:tblCellMar>
            <w:top w:w="0" w:type="dxa"/>
            <w:left w:w="108" w:type="dxa"/>
            <w:bottom w:w="0" w:type="dxa"/>
            <w:right w:w="108" w:type="dxa"/>
          </w:tblCellMar>
        </w:tblPrEx>
        <w:tc>
          <w:tcPr>
            <w:tcW w:w="4536" w:type="dxa"/>
          </w:tcPr>
          <w:p w14:paraId="524D98A1">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 xml:space="preserve">地址： </w:t>
            </w:r>
          </w:p>
        </w:tc>
        <w:tc>
          <w:tcPr>
            <w:tcW w:w="4182" w:type="dxa"/>
          </w:tcPr>
          <w:p w14:paraId="19093CF2">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地址：</w:t>
            </w:r>
          </w:p>
        </w:tc>
      </w:tr>
      <w:tr w14:paraId="73FED553">
        <w:tblPrEx>
          <w:tblCellMar>
            <w:top w:w="0" w:type="dxa"/>
            <w:left w:w="108" w:type="dxa"/>
            <w:bottom w:w="0" w:type="dxa"/>
            <w:right w:w="108" w:type="dxa"/>
          </w:tblCellMar>
        </w:tblPrEx>
        <w:tc>
          <w:tcPr>
            <w:tcW w:w="4536" w:type="dxa"/>
          </w:tcPr>
          <w:p w14:paraId="52B9175B">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邮编：</w:t>
            </w:r>
          </w:p>
        </w:tc>
        <w:tc>
          <w:tcPr>
            <w:tcW w:w="4182" w:type="dxa"/>
          </w:tcPr>
          <w:p w14:paraId="476C3E9B">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邮编：</w:t>
            </w:r>
          </w:p>
        </w:tc>
      </w:tr>
      <w:tr w14:paraId="74361671">
        <w:tblPrEx>
          <w:tblCellMar>
            <w:top w:w="0" w:type="dxa"/>
            <w:left w:w="108" w:type="dxa"/>
            <w:bottom w:w="0" w:type="dxa"/>
            <w:right w:w="108" w:type="dxa"/>
          </w:tblCellMar>
        </w:tblPrEx>
        <w:tc>
          <w:tcPr>
            <w:tcW w:w="4536" w:type="dxa"/>
          </w:tcPr>
          <w:p w14:paraId="7C3C8E39">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联系人：</w:t>
            </w:r>
          </w:p>
        </w:tc>
        <w:tc>
          <w:tcPr>
            <w:tcW w:w="4182" w:type="dxa"/>
          </w:tcPr>
          <w:p w14:paraId="2074C8CE">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联系人：</w:t>
            </w:r>
          </w:p>
        </w:tc>
      </w:tr>
      <w:tr w14:paraId="31D50C51">
        <w:tblPrEx>
          <w:tblCellMar>
            <w:top w:w="0" w:type="dxa"/>
            <w:left w:w="108" w:type="dxa"/>
            <w:bottom w:w="0" w:type="dxa"/>
            <w:right w:w="108" w:type="dxa"/>
          </w:tblCellMar>
        </w:tblPrEx>
        <w:tc>
          <w:tcPr>
            <w:tcW w:w="4536" w:type="dxa"/>
          </w:tcPr>
          <w:p w14:paraId="2D46EA4E">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电话：</w:t>
            </w:r>
          </w:p>
        </w:tc>
        <w:tc>
          <w:tcPr>
            <w:tcW w:w="4182" w:type="dxa"/>
          </w:tcPr>
          <w:p w14:paraId="742F94A5">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电话：</w:t>
            </w:r>
          </w:p>
        </w:tc>
      </w:tr>
      <w:tr w14:paraId="2C40302D">
        <w:tblPrEx>
          <w:tblCellMar>
            <w:top w:w="0" w:type="dxa"/>
            <w:left w:w="108" w:type="dxa"/>
            <w:bottom w:w="0" w:type="dxa"/>
            <w:right w:w="108" w:type="dxa"/>
          </w:tblCellMar>
        </w:tblPrEx>
        <w:tc>
          <w:tcPr>
            <w:tcW w:w="4536" w:type="dxa"/>
          </w:tcPr>
          <w:p w14:paraId="4311B1CB">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传真：</w:t>
            </w:r>
          </w:p>
        </w:tc>
        <w:tc>
          <w:tcPr>
            <w:tcW w:w="4182" w:type="dxa"/>
          </w:tcPr>
          <w:p w14:paraId="420FA266">
            <w:pPr>
              <w:snapToGrid w:val="0"/>
              <w:spacing w:after="120"/>
              <w:rPr>
                <w:rFonts w:asciiTheme="minorEastAsia" w:hAnsiTheme="minorEastAsia" w:cstheme="minorEastAsia"/>
                <w:spacing w:val="10"/>
                <w:szCs w:val="21"/>
              </w:rPr>
            </w:pPr>
            <w:r>
              <w:rPr>
                <w:rFonts w:hint="eastAsia" w:asciiTheme="minorEastAsia" w:hAnsiTheme="minorEastAsia" w:cstheme="minorEastAsia"/>
                <w:spacing w:val="10"/>
                <w:szCs w:val="21"/>
              </w:rPr>
              <w:t>传真：</w:t>
            </w:r>
          </w:p>
        </w:tc>
      </w:tr>
      <w:bookmarkEnd w:id="11"/>
    </w:tbl>
    <w:p w14:paraId="392F218E">
      <w:pPr>
        <w:spacing w:before="156" w:beforeLines="50" w:after="93" w:afterLines="30" w:line="360" w:lineRule="auto"/>
        <w:ind w:firstLine="482" w:firstLineChars="200"/>
        <w:rPr>
          <w:rFonts w:asciiTheme="minorEastAsia" w:hAnsiTheme="minorEastAsia" w:cstheme="minorEastAsia"/>
          <w:color w:val="000000"/>
          <w:szCs w:val="21"/>
        </w:rPr>
      </w:pPr>
      <w:r>
        <w:rPr>
          <w:rFonts w:hint="eastAsia" w:ascii="宋体" w:hAnsi="宋体" w:cs="宋体"/>
          <w:b/>
          <w:kern w:val="0"/>
          <w:sz w:val="24"/>
        </w:rPr>
        <w:t>注：本合同的约定如与本项目询价文件的投标人须知前附表和招标人要求的约定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6D89965E">
      <w:pPr>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廉  洁  协  议</w:t>
      </w:r>
    </w:p>
    <w:p w14:paraId="0AFF939D">
      <w:pPr>
        <w:spacing w:line="420" w:lineRule="exact"/>
        <w:ind w:firstLine="420" w:firstLineChars="200"/>
        <w:rPr>
          <w:rFonts w:hAnsi="宋体"/>
        </w:rPr>
      </w:pPr>
    </w:p>
    <w:p w14:paraId="4494E928">
      <w:pPr>
        <w:spacing w:line="440" w:lineRule="exact"/>
        <w:ind w:firstLine="420" w:firstLineChars="200"/>
        <w:rPr>
          <w:rFonts w:hAnsi="宋体"/>
        </w:rPr>
      </w:pPr>
      <w:r>
        <w:rPr>
          <w:rFonts w:hint="eastAsia" w:hAnsi="宋体"/>
        </w:rPr>
        <w:t>甲方：</w:t>
      </w:r>
      <w:r>
        <w:rPr>
          <w:rFonts w:hint="eastAsia" w:hAnsi="宋体" w:cs="@仿宋_GB2312"/>
          <w:szCs w:val="20"/>
          <w:u w:val="single"/>
        </w:rPr>
        <w:t xml:space="preserve">                        </w:t>
      </w:r>
    </w:p>
    <w:p w14:paraId="2B8620A3">
      <w:pPr>
        <w:spacing w:line="440" w:lineRule="exact"/>
        <w:ind w:firstLine="420" w:firstLineChars="200"/>
        <w:rPr>
          <w:rFonts w:hAnsi="宋体" w:eastAsia="宋体"/>
          <w:u w:val="single"/>
        </w:rPr>
      </w:pPr>
      <w:r>
        <w:rPr>
          <w:rFonts w:hint="eastAsia" w:hAnsi="宋体"/>
        </w:rPr>
        <w:t>乙方：</w:t>
      </w:r>
      <w:r>
        <w:rPr>
          <w:rFonts w:hint="eastAsia" w:hAnsi="宋体" w:cs="@仿宋_GB2312"/>
          <w:szCs w:val="20"/>
          <w:u w:val="single"/>
        </w:rPr>
        <w:t xml:space="preserve">                        </w:t>
      </w:r>
    </w:p>
    <w:p w14:paraId="59ECBE7B">
      <w:pPr>
        <w:spacing w:line="440" w:lineRule="exact"/>
        <w:ind w:firstLine="420" w:firstLineChars="200"/>
        <w:rPr>
          <w:rFonts w:hAnsi="宋体"/>
        </w:rPr>
      </w:pPr>
    </w:p>
    <w:p w14:paraId="4DC41F04">
      <w:pPr>
        <w:spacing w:line="440" w:lineRule="exact"/>
        <w:ind w:firstLine="420" w:firstLineChars="200"/>
        <w:rPr>
          <w:rFonts w:hAnsi="宋体"/>
        </w:rPr>
      </w:pPr>
      <w:r>
        <w:rPr>
          <w:rFonts w:hint="eastAsia" w:hAnsi="宋体"/>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3E558E97">
      <w:pPr>
        <w:spacing w:line="440" w:lineRule="exact"/>
        <w:ind w:firstLine="422" w:firstLineChars="200"/>
        <w:rPr>
          <w:rFonts w:hAnsi="宋体"/>
        </w:rPr>
      </w:pPr>
      <w:r>
        <w:rPr>
          <w:rFonts w:hint="eastAsia" w:hAnsi="宋体"/>
          <w:b/>
        </w:rPr>
        <w:t>第一条</w:t>
      </w:r>
      <w:r>
        <w:rPr>
          <w:rFonts w:hint="eastAsia" w:hAnsi="宋体"/>
        </w:rPr>
        <w:t xml:space="preserve">  甲乙双方的权利和义务</w:t>
      </w:r>
    </w:p>
    <w:p w14:paraId="25067CD9">
      <w:pPr>
        <w:spacing w:line="440" w:lineRule="exact"/>
        <w:ind w:firstLine="420" w:firstLineChars="200"/>
        <w:rPr>
          <w:rFonts w:hAnsi="宋体"/>
        </w:rPr>
      </w:pPr>
      <w:r>
        <w:rPr>
          <w:rFonts w:hint="eastAsia" w:hAnsi="宋体"/>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7D1B88ED">
      <w:pPr>
        <w:spacing w:line="440" w:lineRule="exact"/>
        <w:ind w:firstLine="420" w:firstLineChars="200"/>
        <w:rPr>
          <w:rFonts w:hAnsi="宋体"/>
        </w:rPr>
      </w:pPr>
      <w:r>
        <w:rPr>
          <w:rFonts w:hint="eastAsia" w:hAnsi="宋体"/>
        </w:rPr>
        <w:t>（二）严格执行合同的要求，自觉履行合同约定的相关义务。</w:t>
      </w:r>
    </w:p>
    <w:p w14:paraId="5F81B815">
      <w:pPr>
        <w:spacing w:line="440" w:lineRule="exact"/>
        <w:ind w:firstLine="420" w:firstLineChars="200"/>
        <w:rPr>
          <w:rFonts w:hAnsi="宋体"/>
        </w:rPr>
      </w:pPr>
      <w:r>
        <w:rPr>
          <w:rFonts w:hint="eastAsia" w:hAnsi="宋体"/>
        </w:rPr>
        <w:t>（三）在业务活动中坚持公开、公正、诚信、透明的原则，不得损害国家、集体利益。</w:t>
      </w:r>
    </w:p>
    <w:p w14:paraId="2650FBE2">
      <w:pPr>
        <w:spacing w:line="440" w:lineRule="exact"/>
        <w:ind w:firstLine="420" w:firstLineChars="200"/>
        <w:rPr>
          <w:rFonts w:hAnsi="宋体"/>
        </w:rPr>
      </w:pPr>
      <w:r>
        <w:rPr>
          <w:rFonts w:hint="eastAsia" w:hAnsi="宋体"/>
        </w:rPr>
        <w:t>（四）建立健全廉洁制度，开展廉洁教育，公布举报电话，监督并认真查处违法违纪行为。</w:t>
      </w:r>
    </w:p>
    <w:p w14:paraId="169AC043">
      <w:pPr>
        <w:spacing w:line="440" w:lineRule="exact"/>
        <w:ind w:firstLine="420" w:firstLineChars="200"/>
        <w:rPr>
          <w:rFonts w:hAnsi="宋体"/>
        </w:rPr>
      </w:pPr>
      <w:r>
        <w:rPr>
          <w:rFonts w:hint="eastAsia" w:hAnsi="宋体"/>
        </w:rPr>
        <w:t>（五）发现对方在业务活动中有违反廉洁规定的行为，应及时提醒对方纠正。情节严重的，应向其上级有关部门举报、建议给予处理，并有权要求告知处理结果。</w:t>
      </w:r>
    </w:p>
    <w:p w14:paraId="01EB8453">
      <w:pPr>
        <w:spacing w:line="440" w:lineRule="exact"/>
        <w:ind w:firstLine="422" w:firstLineChars="200"/>
        <w:rPr>
          <w:rFonts w:hAnsi="宋体"/>
        </w:rPr>
      </w:pPr>
      <w:r>
        <w:rPr>
          <w:rFonts w:hint="eastAsia" w:hAnsi="宋体"/>
          <w:b/>
        </w:rPr>
        <w:t>第二条</w:t>
      </w:r>
      <w:r>
        <w:rPr>
          <w:rFonts w:hint="eastAsia" w:hAnsi="宋体"/>
        </w:rPr>
        <w:t xml:space="preserve">  甲方的义务</w:t>
      </w:r>
    </w:p>
    <w:p w14:paraId="3C1CC56F">
      <w:pPr>
        <w:spacing w:line="440" w:lineRule="exact"/>
        <w:ind w:firstLine="420" w:firstLineChars="200"/>
        <w:rPr>
          <w:rFonts w:hAnsi="宋体"/>
        </w:rPr>
      </w:pPr>
      <w:r>
        <w:rPr>
          <w:rFonts w:hint="eastAsia" w:hAnsi="宋体"/>
        </w:rPr>
        <w:t>（一）甲方及其工作人员不得索要或接受乙方的礼金、有价证券和贵重物品，不得在乙方报销任何应由甲方单位或个人支付的费用等。</w:t>
      </w:r>
    </w:p>
    <w:p w14:paraId="5DF7C4DB">
      <w:pPr>
        <w:spacing w:line="440" w:lineRule="exact"/>
        <w:ind w:firstLine="420" w:firstLineChars="200"/>
        <w:rPr>
          <w:rFonts w:hAnsi="宋体"/>
        </w:rPr>
      </w:pPr>
      <w:r>
        <w:rPr>
          <w:rFonts w:hint="eastAsia" w:hAnsi="宋体"/>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AB54682">
      <w:pPr>
        <w:spacing w:line="440" w:lineRule="exact"/>
        <w:ind w:firstLine="420" w:firstLineChars="200"/>
        <w:rPr>
          <w:rFonts w:hAnsi="宋体"/>
        </w:rPr>
      </w:pPr>
      <w:r>
        <w:rPr>
          <w:rFonts w:hint="eastAsia" w:hAnsi="宋体"/>
        </w:rPr>
        <w:t>（三）甲方及其工作人员不得要求或者接受乙方为其住房装修、婚丧嫁娶活动、配偶子女工作安排以及出国出境、旅游等提供方便等。</w:t>
      </w:r>
    </w:p>
    <w:p w14:paraId="3EA41BD1">
      <w:pPr>
        <w:spacing w:line="440" w:lineRule="exact"/>
        <w:ind w:firstLine="420" w:firstLineChars="200"/>
        <w:rPr>
          <w:rFonts w:hAnsi="宋体"/>
        </w:rPr>
      </w:pPr>
      <w:r>
        <w:rPr>
          <w:rFonts w:hint="eastAsia" w:hAnsi="宋体"/>
        </w:rPr>
        <w:t>（四）甲方工作人员不得在乙方有关联的企业兼职，不得向乙方介绍家属或者亲友从事与甲方业务有关的经济活动。</w:t>
      </w:r>
    </w:p>
    <w:p w14:paraId="08DF2CCA">
      <w:pPr>
        <w:spacing w:line="440" w:lineRule="exact"/>
        <w:ind w:firstLine="420" w:firstLineChars="200"/>
        <w:rPr>
          <w:rFonts w:hAnsi="宋体"/>
        </w:rPr>
      </w:pPr>
      <w:r>
        <w:rPr>
          <w:rFonts w:hint="eastAsia" w:hAnsi="宋体"/>
        </w:rPr>
        <w:t>（五）甲方工作人员不得以明显低于市场的价格向乙方购买房屋、汽车等物品；不得以明显高于市场的价格向乙方出售房屋、汽车等物品；不得以其他交易形式非法收受请托人财物。</w:t>
      </w:r>
    </w:p>
    <w:p w14:paraId="38DF46C9">
      <w:pPr>
        <w:spacing w:line="440" w:lineRule="exact"/>
        <w:ind w:firstLine="420" w:firstLineChars="200"/>
        <w:rPr>
          <w:rFonts w:hAnsi="宋体"/>
        </w:rPr>
      </w:pPr>
      <w:r>
        <w:rPr>
          <w:rFonts w:hint="eastAsia" w:hAnsi="宋体"/>
        </w:rPr>
        <w:t>（六）甲方工作人员不得利用职务之便收受乙方以回扣、手续费、加班费、咨询费、劳务费、协调费等各种名义给予或赠送的钱物。</w:t>
      </w:r>
    </w:p>
    <w:p w14:paraId="52171C81">
      <w:pPr>
        <w:spacing w:line="440" w:lineRule="exact"/>
        <w:ind w:firstLine="420" w:firstLineChars="200"/>
        <w:rPr>
          <w:rFonts w:hAnsi="宋体"/>
        </w:rPr>
      </w:pPr>
      <w:r>
        <w:rPr>
          <w:rFonts w:hint="eastAsia" w:hAnsi="宋体"/>
        </w:rPr>
        <w:t>（七）甲方工作人员不得接受乙方给予或赠送的干股或红利。</w:t>
      </w:r>
    </w:p>
    <w:p w14:paraId="03661178">
      <w:pPr>
        <w:spacing w:line="440" w:lineRule="exact"/>
        <w:ind w:firstLine="420" w:firstLineChars="200"/>
        <w:rPr>
          <w:rFonts w:hAnsi="宋体"/>
        </w:rPr>
      </w:pPr>
      <w:r>
        <w:rPr>
          <w:rFonts w:hint="eastAsia" w:hAnsi="宋体"/>
        </w:rPr>
        <w:t>（八）甲方任何人不得以个人的名义向乙方推荐设备、部件等供货商以及其他合作单位。</w:t>
      </w:r>
    </w:p>
    <w:p w14:paraId="4D61D81E">
      <w:pPr>
        <w:spacing w:line="440" w:lineRule="exact"/>
        <w:ind w:firstLine="422" w:firstLineChars="200"/>
        <w:rPr>
          <w:rFonts w:hAnsi="宋体"/>
        </w:rPr>
      </w:pPr>
      <w:r>
        <w:rPr>
          <w:rFonts w:hint="eastAsia" w:hAnsi="宋体"/>
          <w:b/>
        </w:rPr>
        <w:t xml:space="preserve">第三条  </w:t>
      </w:r>
      <w:r>
        <w:rPr>
          <w:rFonts w:hint="eastAsia" w:hAnsi="宋体"/>
        </w:rPr>
        <w:t>乙方的义务</w:t>
      </w:r>
    </w:p>
    <w:p w14:paraId="18DF5292">
      <w:pPr>
        <w:spacing w:line="440" w:lineRule="exact"/>
        <w:ind w:firstLine="420" w:firstLineChars="200"/>
        <w:rPr>
          <w:rFonts w:hAnsi="宋体"/>
        </w:rPr>
      </w:pPr>
      <w:r>
        <w:rPr>
          <w:rFonts w:hint="eastAsia" w:hAnsi="宋体"/>
        </w:rPr>
        <w:t>（一）乙方不得以任何理由向甲方及其工作人员行贿或馈赠礼金、有价证券、贵重礼品。</w:t>
      </w:r>
    </w:p>
    <w:p w14:paraId="3826375A">
      <w:pPr>
        <w:spacing w:line="440" w:lineRule="exact"/>
        <w:ind w:firstLine="420" w:firstLineChars="200"/>
        <w:rPr>
          <w:rFonts w:hAnsi="宋体"/>
        </w:rPr>
      </w:pPr>
      <w:r>
        <w:rPr>
          <w:rFonts w:hint="eastAsia" w:hAnsi="宋体"/>
        </w:rPr>
        <w:t>（二)乙方不得以任何名义为甲方及其工作人员报销应由甲方单位或个人支付的任何费用。</w:t>
      </w:r>
    </w:p>
    <w:p w14:paraId="4F0C4D15">
      <w:pPr>
        <w:spacing w:line="440" w:lineRule="exact"/>
        <w:ind w:firstLine="420" w:firstLineChars="200"/>
        <w:rPr>
          <w:rFonts w:hAnsi="宋体"/>
        </w:rPr>
      </w:pPr>
      <w:r>
        <w:rPr>
          <w:rFonts w:hint="eastAsia" w:hAnsi="宋体"/>
        </w:rPr>
        <w:t>（三）乙方不得以任何理由安排甲方工作人员参加可能影响相关业务公开、公正、公平性的宴请及娱乐活动。</w:t>
      </w:r>
    </w:p>
    <w:p w14:paraId="71E4D1E7">
      <w:pPr>
        <w:spacing w:line="440" w:lineRule="exact"/>
        <w:ind w:firstLine="420" w:firstLineChars="200"/>
        <w:rPr>
          <w:rFonts w:hAnsi="宋体"/>
        </w:rPr>
      </w:pPr>
      <w:r>
        <w:rPr>
          <w:rFonts w:hint="eastAsia" w:hAnsi="宋体"/>
        </w:rPr>
        <w:t>（四）乙方不得为甲方单位和个人购置或提供通讯工具和高档办公用品等物品，也不得为甲方提供与工作无关的房屋、汽车等。</w:t>
      </w:r>
    </w:p>
    <w:p w14:paraId="14AFE894">
      <w:pPr>
        <w:spacing w:line="440" w:lineRule="exact"/>
        <w:ind w:firstLine="420" w:firstLineChars="200"/>
        <w:rPr>
          <w:rFonts w:hAnsi="宋体"/>
        </w:rPr>
      </w:pPr>
      <w:r>
        <w:rPr>
          <w:rFonts w:hint="eastAsia" w:hAnsi="宋体"/>
        </w:rPr>
        <w:t>（五）乙方不得与甲方工作人员就合同中的质量、数量、价格、工程量、验收等条款进行私下商谈或者达成默契。</w:t>
      </w:r>
    </w:p>
    <w:p w14:paraId="5F5387C5">
      <w:pPr>
        <w:spacing w:line="440" w:lineRule="exact"/>
        <w:ind w:firstLine="420" w:firstLineChars="200"/>
        <w:rPr>
          <w:rFonts w:hAnsi="宋体"/>
        </w:rPr>
      </w:pPr>
      <w:r>
        <w:rPr>
          <w:rFonts w:hint="eastAsia" w:hAnsi="宋体"/>
        </w:rPr>
        <w:t>（六）乙方不得以回扣、手续费、加班费、咨询费、劳务费等各种名义向甲方工作人员给予或赠送钱物。</w:t>
      </w:r>
    </w:p>
    <w:p w14:paraId="475C3A44">
      <w:pPr>
        <w:spacing w:line="440" w:lineRule="exact"/>
        <w:ind w:firstLine="420" w:firstLineChars="200"/>
        <w:rPr>
          <w:rFonts w:hAnsi="宋体"/>
        </w:rPr>
      </w:pPr>
      <w:r>
        <w:rPr>
          <w:rFonts w:hint="eastAsia" w:hAnsi="宋体"/>
        </w:rPr>
        <w:t>（七）乙方不得向甲方工作人员提供干股或红利。</w:t>
      </w:r>
    </w:p>
    <w:p w14:paraId="429A9797">
      <w:pPr>
        <w:spacing w:line="440" w:lineRule="exact"/>
        <w:ind w:firstLine="420" w:firstLineChars="200"/>
        <w:rPr>
          <w:rFonts w:hAnsi="宋体"/>
        </w:rPr>
      </w:pPr>
      <w:r>
        <w:rPr>
          <w:rFonts w:hint="eastAsia" w:hAnsi="宋体"/>
        </w:rPr>
        <w:t>（八）乙方须按合肥文旅博览集团有限公司纪委要求开展相关工作。</w:t>
      </w:r>
    </w:p>
    <w:p w14:paraId="2C1A889F">
      <w:pPr>
        <w:spacing w:line="440" w:lineRule="exact"/>
        <w:ind w:firstLine="422" w:firstLineChars="200"/>
        <w:rPr>
          <w:rFonts w:hAnsi="宋体"/>
        </w:rPr>
      </w:pPr>
      <w:r>
        <w:rPr>
          <w:rFonts w:hint="eastAsia" w:hAnsi="宋体"/>
          <w:b/>
        </w:rPr>
        <w:t>第四条</w:t>
      </w:r>
      <w:r>
        <w:rPr>
          <w:rFonts w:hint="eastAsia" w:hAnsi="宋体"/>
        </w:rPr>
        <w:t xml:space="preserve">  违约责任</w:t>
      </w:r>
    </w:p>
    <w:p w14:paraId="45417789">
      <w:pPr>
        <w:spacing w:line="440" w:lineRule="exact"/>
        <w:ind w:firstLine="420" w:firstLineChars="200"/>
        <w:rPr>
          <w:rFonts w:hAnsi="宋体"/>
        </w:rPr>
      </w:pPr>
      <w:r>
        <w:rPr>
          <w:rFonts w:hint="eastAsia" w:hAnsi="宋体"/>
        </w:rPr>
        <w:t>（一）甲方及其工作人员违反本协议第一、二条规定。甲方按管理权限，对相关责任人依据有关规定给予党纪、政纪处分或组织处理；涉嫌犯罪的，移交司法机关追究刑事责任。</w:t>
      </w:r>
    </w:p>
    <w:p w14:paraId="130FD964">
      <w:pPr>
        <w:spacing w:line="440" w:lineRule="exact"/>
        <w:ind w:firstLine="420" w:firstLineChars="200"/>
        <w:jc w:val="left"/>
        <w:rPr>
          <w:rFonts w:hAnsi="宋体" w:eastAsia="宋体"/>
        </w:rPr>
      </w:pPr>
      <w:r>
        <w:rPr>
          <w:rFonts w:hint="eastAsia" w:hAnsi="宋体"/>
        </w:rPr>
        <w:t>投诉联系部门：合肥经纬资产经营管理有限公司综合管理部，联系电话:</w:t>
      </w:r>
      <w:r>
        <w:rPr>
          <w:rFonts w:hAnsi="宋体"/>
        </w:rPr>
        <w:t>0551</w:t>
      </w:r>
      <w:r>
        <w:rPr>
          <w:rFonts w:hint="eastAsia" w:hAnsi="宋体"/>
        </w:rPr>
        <w:t>-</w:t>
      </w:r>
      <w:r>
        <w:rPr>
          <w:rFonts w:hAnsi="宋体"/>
        </w:rPr>
        <w:t>63530731</w:t>
      </w:r>
      <w:r>
        <w:rPr>
          <w:rFonts w:hint="eastAsia" w:hAnsi="宋体"/>
        </w:rPr>
        <w:t>，举报邮箱：hfjwjw</w:t>
      </w:r>
      <w:r>
        <w:rPr>
          <w:rFonts w:hAnsi="宋体"/>
        </w:rPr>
        <w:t>@126.COM</w:t>
      </w:r>
    </w:p>
    <w:p w14:paraId="00189BF8">
      <w:pPr>
        <w:spacing w:line="440" w:lineRule="exact"/>
        <w:ind w:firstLine="420" w:firstLineChars="200"/>
        <w:rPr>
          <w:rFonts w:hAnsi="宋体"/>
        </w:rPr>
      </w:pPr>
      <w:r>
        <w:rPr>
          <w:rFonts w:hint="eastAsia" w:hAnsi="宋体"/>
        </w:rPr>
        <w:t>（二）乙方及其工作人员违反本协议第一、三条规定。根据具体情节和造成的后果，甲方有权依据法律法规及合同约定对乙方采取以下一种或多种处理办法：</w:t>
      </w:r>
    </w:p>
    <w:p w14:paraId="725692F8">
      <w:pPr>
        <w:spacing w:line="440" w:lineRule="exact"/>
        <w:ind w:firstLine="420" w:firstLineChars="200"/>
        <w:rPr>
          <w:rFonts w:hAnsi="宋体"/>
        </w:rPr>
      </w:pPr>
      <w:r>
        <w:rPr>
          <w:rFonts w:hint="eastAsia" w:hAnsi="宋体"/>
        </w:rPr>
        <w:t xml:space="preserve">1．向建设行政部门、招投标管理部门及乙方上级主管部门通报，建议作出相应处理； </w:t>
      </w:r>
    </w:p>
    <w:p w14:paraId="7CC8F6A5">
      <w:pPr>
        <w:spacing w:line="440" w:lineRule="exact"/>
        <w:ind w:firstLine="420" w:firstLineChars="200"/>
        <w:rPr>
          <w:rFonts w:hAnsi="宋体"/>
        </w:rPr>
      </w:pPr>
      <w:r>
        <w:rPr>
          <w:rFonts w:hint="eastAsia" w:hAnsi="宋体"/>
        </w:rPr>
        <w:t>2．甲方有权扣除乙方履约保证金全部或部分（视情节严重性而定）；</w:t>
      </w:r>
    </w:p>
    <w:p w14:paraId="0FA96328">
      <w:pPr>
        <w:spacing w:line="440" w:lineRule="exact"/>
        <w:ind w:firstLine="420" w:firstLineChars="200"/>
        <w:rPr>
          <w:rFonts w:hAnsi="宋体"/>
        </w:rPr>
      </w:pPr>
      <w:r>
        <w:rPr>
          <w:rFonts w:hint="eastAsia" w:hAnsi="宋体"/>
        </w:rPr>
        <w:t>3．终止或解除双方已签订的包括（不限于）本合同在内的所有合同。</w:t>
      </w:r>
    </w:p>
    <w:p w14:paraId="17597227">
      <w:pPr>
        <w:spacing w:line="440" w:lineRule="exact"/>
        <w:ind w:firstLine="420" w:firstLineChars="200"/>
        <w:rPr>
          <w:rFonts w:hAnsi="宋体"/>
        </w:rPr>
      </w:pPr>
      <w:r>
        <w:rPr>
          <w:rFonts w:hint="eastAsia" w:hAnsi="宋体"/>
        </w:rPr>
        <w:t>甲方作出的处理意见，乙方应无条件接受并承担给甲方造成的损失，全额返还通过不正当手段从甲方获取的非法所得，并承担相应的法律责任。</w:t>
      </w:r>
    </w:p>
    <w:p w14:paraId="6B20B3CC">
      <w:pPr>
        <w:spacing w:line="440" w:lineRule="exact"/>
        <w:ind w:firstLine="422" w:firstLineChars="200"/>
        <w:rPr>
          <w:rFonts w:hAnsi="宋体"/>
        </w:rPr>
      </w:pPr>
      <w:r>
        <w:rPr>
          <w:rFonts w:hint="eastAsia" w:hAnsi="宋体"/>
          <w:b/>
        </w:rPr>
        <w:t>第五条</w:t>
      </w:r>
      <w:r>
        <w:rPr>
          <w:rFonts w:hint="eastAsia" w:hAnsi="宋体"/>
        </w:rPr>
        <w:t xml:space="preserve">  双方约定</w:t>
      </w:r>
    </w:p>
    <w:p w14:paraId="197A8F93">
      <w:pPr>
        <w:spacing w:line="440" w:lineRule="exact"/>
        <w:ind w:firstLine="420" w:firstLineChars="200"/>
        <w:rPr>
          <w:rFonts w:hAnsi="宋体"/>
        </w:rPr>
      </w:pPr>
      <w:r>
        <w:rPr>
          <w:rFonts w:hint="eastAsia" w:hAnsi="宋体"/>
        </w:rPr>
        <w:t>本协议由双方或双方上级单位负责监督。可由甲方或甲方上级单位的纪检监察部门约请乙方或乙方上级单位的纪检监察部门对本协议履行情况进行检查，提出在本协议规定范围内的裁定意见。</w:t>
      </w:r>
    </w:p>
    <w:p w14:paraId="775D3482">
      <w:pPr>
        <w:spacing w:line="440" w:lineRule="exact"/>
        <w:ind w:firstLine="422" w:firstLineChars="200"/>
        <w:rPr>
          <w:rFonts w:hAnsi="宋体"/>
        </w:rPr>
      </w:pPr>
      <w:r>
        <w:rPr>
          <w:rFonts w:hint="eastAsia" w:hAnsi="宋体"/>
          <w:b/>
        </w:rPr>
        <w:t xml:space="preserve">第六条  </w:t>
      </w:r>
      <w:r>
        <w:rPr>
          <w:rFonts w:hint="eastAsia" w:hAnsi="宋体"/>
        </w:rPr>
        <w:t xml:space="preserve">本协议有效期为甲乙双方签署之日起至合同终止。  </w:t>
      </w:r>
    </w:p>
    <w:p w14:paraId="4D7D6744">
      <w:pPr>
        <w:spacing w:line="440" w:lineRule="exact"/>
        <w:ind w:firstLine="422" w:firstLineChars="200"/>
        <w:rPr>
          <w:rFonts w:hAnsi="宋体"/>
        </w:rPr>
      </w:pPr>
      <w:r>
        <w:rPr>
          <w:rFonts w:hint="eastAsia" w:hAnsi="宋体"/>
          <w:b/>
        </w:rPr>
        <w:t xml:space="preserve">第七条 </w:t>
      </w:r>
      <w:r>
        <w:rPr>
          <w:rFonts w:hint="eastAsia" w:hAnsi="宋体"/>
        </w:rPr>
        <w:t xml:space="preserve"> 本协议作为合同的附件，与合同具有同等法律效力。</w:t>
      </w:r>
    </w:p>
    <w:p w14:paraId="10CF7FD8">
      <w:pPr>
        <w:spacing w:line="440" w:lineRule="exact"/>
        <w:rPr>
          <w:rFonts w:hAnsi="宋体"/>
        </w:rPr>
      </w:pPr>
    </w:p>
    <w:p w14:paraId="4BAE331F">
      <w:pPr>
        <w:spacing w:line="440" w:lineRule="exact"/>
        <w:ind w:firstLine="420" w:firstLineChars="200"/>
        <w:rPr>
          <w:rFonts w:hAnsi="宋体"/>
        </w:rPr>
      </w:pPr>
      <w:r>
        <w:rPr>
          <w:rFonts w:hint="eastAsia" w:hAnsi="宋体"/>
        </w:rPr>
        <w:t>甲方（盖章）：                   乙方（盖章）：</w:t>
      </w:r>
    </w:p>
    <w:p w14:paraId="129A8186">
      <w:pPr>
        <w:spacing w:line="440" w:lineRule="exact"/>
        <w:ind w:firstLine="420" w:firstLineChars="200"/>
        <w:rPr>
          <w:rFonts w:hAnsi="宋体"/>
        </w:rPr>
      </w:pPr>
      <w:r>
        <w:rPr>
          <w:rFonts w:hint="eastAsia" w:hAnsi="宋体"/>
        </w:rPr>
        <w:t>法定代表人或</w:t>
      </w:r>
      <w:r>
        <w:rPr>
          <w:rFonts w:hint="eastAsia" w:hAnsi="宋体"/>
        </w:rPr>
        <w:tab/>
      </w:r>
      <w:r>
        <w:rPr>
          <w:rFonts w:hint="eastAsia" w:hAnsi="宋体"/>
        </w:rPr>
        <w:t xml:space="preserve">                    法定代表人或</w:t>
      </w:r>
    </w:p>
    <w:p w14:paraId="6D72880D">
      <w:pPr>
        <w:spacing w:line="440" w:lineRule="exact"/>
        <w:ind w:firstLine="420" w:firstLineChars="200"/>
        <w:rPr>
          <w:rFonts w:hAnsi="宋体"/>
        </w:rPr>
      </w:pPr>
      <w:r>
        <w:rPr>
          <w:rFonts w:hint="eastAsia" w:hAnsi="宋体"/>
        </w:rPr>
        <w:t>授权代表：   (职务)               授权代表：  （职务）</w:t>
      </w:r>
    </w:p>
    <w:p w14:paraId="7CF5FC72">
      <w:pPr>
        <w:spacing w:line="440" w:lineRule="exact"/>
        <w:ind w:firstLine="420" w:firstLineChars="200"/>
        <w:rPr>
          <w:rFonts w:hAnsi="宋体"/>
        </w:rPr>
      </w:pPr>
      <w:r>
        <w:rPr>
          <w:rFonts w:hint="eastAsia" w:hAnsi="宋体"/>
        </w:rPr>
        <w:t>签字：                            签字：</w:t>
      </w:r>
    </w:p>
    <w:p w14:paraId="2F767D51">
      <w:pPr>
        <w:spacing w:line="440" w:lineRule="exact"/>
        <w:ind w:firstLine="420" w:firstLineChars="200"/>
        <w:rPr>
          <w:rFonts w:hAnsi="宋体"/>
        </w:rPr>
      </w:pPr>
    </w:p>
    <w:p w14:paraId="6E729B06">
      <w:pPr>
        <w:spacing w:line="440" w:lineRule="exact"/>
        <w:ind w:firstLine="420" w:firstLineChars="200"/>
        <w:rPr>
          <w:rFonts w:hAnsi="宋体"/>
        </w:rPr>
      </w:pPr>
    </w:p>
    <w:p w14:paraId="55E3A2A2">
      <w:pPr>
        <w:spacing w:line="440" w:lineRule="exact"/>
        <w:ind w:firstLine="420" w:firstLineChars="200"/>
        <w:rPr>
          <w:rFonts w:hAnsi="宋体"/>
        </w:rPr>
      </w:pPr>
      <w:r>
        <w:rPr>
          <w:rFonts w:hint="eastAsia" w:hAnsi="宋体"/>
        </w:rPr>
        <w:t>廉洁监督联系人                    廉洁监督联系人</w:t>
      </w:r>
    </w:p>
    <w:p w14:paraId="18E1C533">
      <w:pPr>
        <w:spacing w:line="440" w:lineRule="exact"/>
        <w:ind w:firstLine="420" w:firstLineChars="200"/>
        <w:rPr>
          <w:rFonts w:hAnsi="宋体"/>
        </w:rPr>
      </w:pPr>
      <w:r>
        <w:rPr>
          <w:rFonts w:hint="eastAsia" w:hAnsi="宋体"/>
        </w:rPr>
        <w:t>签字：                            签字：</w:t>
      </w:r>
    </w:p>
    <w:p w14:paraId="2762BBE0">
      <w:pPr>
        <w:spacing w:line="440" w:lineRule="exact"/>
        <w:ind w:firstLine="420" w:firstLineChars="200"/>
        <w:rPr>
          <w:rFonts w:hAnsi="宋体"/>
        </w:rPr>
      </w:pPr>
      <w:r>
        <w:rPr>
          <w:rFonts w:hint="eastAsia" w:hAnsi="宋体"/>
        </w:rPr>
        <w:t>电话：0551-                       电话：</w:t>
      </w:r>
    </w:p>
    <w:p w14:paraId="7C1063C4">
      <w:pPr>
        <w:widowControl/>
        <w:spacing w:line="560" w:lineRule="exact"/>
        <w:ind w:firstLine="420" w:firstLineChars="200"/>
        <w:jc w:val="left"/>
        <w:rPr>
          <w:rFonts w:hAnsi="宋体" w:cs="@仿宋_GB2312"/>
          <w:bCs/>
          <w:szCs w:val="20"/>
        </w:rPr>
      </w:pPr>
      <w:bookmarkStart w:id="12" w:name="_Toc331685783"/>
      <w:r>
        <w:rPr>
          <w:rFonts w:hint="eastAsia" w:hAnsi="宋体" w:cs="@仿宋_GB2312"/>
          <w:bCs/>
          <w:szCs w:val="20"/>
        </w:rPr>
        <w:t>时间：</w:t>
      </w:r>
      <w:r>
        <w:rPr>
          <w:rFonts w:hint="eastAsia" w:hAnsi="宋体" w:cs="@仿宋_GB2312"/>
          <w:bCs/>
          <w:szCs w:val="20"/>
          <w:u w:val="single"/>
        </w:rPr>
        <w:t xml:space="preserve">  2025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2025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bookmarkEnd w:id="12"/>
    </w:p>
    <w:p w14:paraId="0AA65DC1">
      <w:pPr>
        <w:widowControl/>
        <w:jc w:val="left"/>
        <w:rPr>
          <w:rFonts w:ascii="Times New Roman" w:hAnsi="Times New Roman" w:cs="Times New Roman"/>
          <w:sz w:val="24"/>
        </w:rPr>
      </w:pPr>
      <w:r>
        <w:rPr>
          <w:rFonts w:ascii="Times New Roman" w:hAnsi="Times New Roman" w:cs="Times New Roman"/>
          <w:sz w:val="24"/>
        </w:rPr>
        <w:br w:type="page"/>
      </w:r>
    </w:p>
    <w:p w14:paraId="64A9A5F5">
      <w:pPr>
        <w:spacing w:line="360" w:lineRule="auto"/>
        <w:jc w:val="center"/>
        <w:outlineLvl w:val="1"/>
        <w:rPr>
          <w:rFonts w:ascii="Times New Roman" w:hAnsi="Times New Roman" w:cs="Times New Roman"/>
          <w:b/>
          <w:sz w:val="28"/>
        </w:rPr>
      </w:pPr>
      <w:bookmarkStart w:id="13" w:name="_Toc22226"/>
      <w:r>
        <w:rPr>
          <w:rFonts w:ascii="Times New Roman" w:hAnsi="Times New Roman" w:cs="Times New Roman"/>
          <w:b/>
          <w:sz w:val="28"/>
        </w:rPr>
        <w:t>第六章  投标文件格式</w:t>
      </w:r>
      <w:bookmarkEnd w:id="13"/>
    </w:p>
    <w:p w14:paraId="1B8895B3">
      <w:pPr>
        <w:spacing w:line="500" w:lineRule="exact"/>
        <w:jc w:val="center"/>
        <w:rPr>
          <w:rFonts w:ascii="Times New Roman" w:hAnsi="Times New Roman" w:cs="Times New Roman"/>
          <w:b/>
          <w:sz w:val="32"/>
        </w:rPr>
      </w:pPr>
      <w:r>
        <w:rPr>
          <w:rFonts w:hint="eastAsia" w:ascii="Times New Roman" w:hAnsi="Times New Roman" w:cs="Times New Roman"/>
          <w:b/>
          <w:sz w:val="32"/>
        </w:rPr>
        <w:t>合肥经纬资产经营管理有限公司FS420蜘蛛式高空平台等处置资产评估服务项目</w:t>
      </w:r>
    </w:p>
    <w:p w14:paraId="07DC8B1C">
      <w:pPr>
        <w:spacing w:line="900" w:lineRule="exact"/>
        <w:jc w:val="center"/>
        <w:rPr>
          <w:rFonts w:ascii="Times New Roman" w:hAnsi="Times New Roman" w:cs="Times New Roman"/>
          <w:b/>
          <w:sz w:val="72"/>
        </w:rPr>
      </w:pPr>
    </w:p>
    <w:p w14:paraId="6D487282">
      <w:pPr>
        <w:spacing w:line="900" w:lineRule="exact"/>
        <w:jc w:val="center"/>
        <w:rPr>
          <w:rFonts w:ascii="Times New Roman" w:hAnsi="Times New Roman" w:cs="Times New Roman"/>
          <w:b/>
          <w:sz w:val="72"/>
        </w:rPr>
      </w:pPr>
      <w:r>
        <w:rPr>
          <w:rFonts w:ascii="Times New Roman" w:hAnsi="Times New Roman" w:cs="Times New Roman"/>
          <w:b/>
          <w:sz w:val="72"/>
        </w:rPr>
        <w:t>投</w:t>
      </w:r>
    </w:p>
    <w:p w14:paraId="5281DA15">
      <w:pPr>
        <w:spacing w:line="900" w:lineRule="exact"/>
        <w:jc w:val="center"/>
        <w:rPr>
          <w:rFonts w:ascii="Times New Roman" w:hAnsi="Times New Roman" w:cs="Times New Roman"/>
          <w:b/>
          <w:sz w:val="72"/>
        </w:rPr>
      </w:pPr>
    </w:p>
    <w:p w14:paraId="44AF6579">
      <w:pPr>
        <w:spacing w:line="900" w:lineRule="exact"/>
        <w:jc w:val="center"/>
        <w:rPr>
          <w:rFonts w:ascii="Times New Roman" w:hAnsi="Times New Roman" w:cs="Times New Roman"/>
          <w:b/>
          <w:sz w:val="72"/>
        </w:rPr>
      </w:pPr>
      <w:r>
        <w:rPr>
          <w:rFonts w:ascii="Times New Roman" w:hAnsi="Times New Roman" w:cs="Times New Roman"/>
          <w:b/>
          <w:sz w:val="72"/>
        </w:rPr>
        <w:t>标</w:t>
      </w:r>
    </w:p>
    <w:p w14:paraId="36D6AB9D">
      <w:pPr>
        <w:spacing w:line="900" w:lineRule="exact"/>
        <w:jc w:val="center"/>
        <w:rPr>
          <w:rFonts w:ascii="Times New Roman" w:hAnsi="Times New Roman" w:cs="Times New Roman"/>
          <w:b/>
          <w:sz w:val="72"/>
        </w:rPr>
      </w:pPr>
    </w:p>
    <w:p w14:paraId="71ACD177">
      <w:pPr>
        <w:spacing w:line="900" w:lineRule="exact"/>
        <w:jc w:val="center"/>
        <w:rPr>
          <w:rFonts w:ascii="Times New Roman" w:hAnsi="Times New Roman" w:cs="Times New Roman"/>
          <w:b/>
          <w:sz w:val="72"/>
        </w:rPr>
      </w:pPr>
      <w:r>
        <w:rPr>
          <w:rFonts w:ascii="Times New Roman" w:hAnsi="Times New Roman" w:cs="Times New Roman"/>
          <w:b/>
          <w:sz w:val="72"/>
        </w:rPr>
        <w:t>文</w:t>
      </w:r>
    </w:p>
    <w:p w14:paraId="0A09D157">
      <w:pPr>
        <w:spacing w:line="900" w:lineRule="exact"/>
        <w:jc w:val="center"/>
        <w:rPr>
          <w:rFonts w:ascii="Times New Roman" w:hAnsi="Times New Roman" w:cs="Times New Roman"/>
          <w:b/>
          <w:sz w:val="72"/>
        </w:rPr>
      </w:pPr>
    </w:p>
    <w:p w14:paraId="4F4EE8FC">
      <w:pPr>
        <w:jc w:val="center"/>
        <w:rPr>
          <w:rFonts w:ascii="Times New Roman" w:hAnsi="Times New Roman" w:cs="Times New Roman"/>
          <w:b/>
          <w:sz w:val="72"/>
        </w:rPr>
      </w:pPr>
      <w:r>
        <w:rPr>
          <w:rFonts w:ascii="Times New Roman" w:hAnsi="Times New Roman" w:cs="Times New Roman"/>
          <w:b/>
          <w:sz w:val="72"/>
        </w:rPr>
        <w:t>件</w:t>
      </w:r>
    </w:p>
    <w:p w14:paraId="7FAE2631">
      <w:pPr>
        <w:spacing w:after="156" w:afterLines="50"/>
        <w:jc w:val="center"/>
        <w:rPr>
          <w:rFonts w:ascii="Times New Roman" w:hAnsi="Times New Roman" w:cs="Times New Roman"/>
          <w:b/>
          <w:sz w:val="72"/>
        </w:rPr>
      </w:pPr>
    </w:p>
    <w:p w14:paraId="7B45838B">
      <w:pPr>
        <w:spacing w:before="156" w:beforeLines="50" w:after="156" w:afterLines="50"/>
        <w:jc w:val="center"/>
        <w:rPr>
          <w:rFonts w:ascii="Times New Roman" w:hAnsi="Times New Roman" w:cs="Times New Roman"/>
          <w:b/>
          <w:sz w:val="32"/>
          <w:szCs w:val="32"/>
        </w:rPr>
      </w:pPr>
    </w:p>
    <w:p w14:paraId="095E8241">
      <w:pPr>
        <w:spacing w:after="156" w:afterLines="50" w:line="500" w:lineRule="exact"/>
        <w:rPr>
          <w:rFonts w:ascii="Times New Roman" w:hAnsi="Times New Roman" w:cs="Times New Roman"/>
          <w:b/>
          <w:sz w:val="72"/>
        </w:rPr>
      </w:pPr>
    </w:p>
    <w:p w14:paraId="685E3DA9">
      <w:pPr>
        <w:spacing w:after="156"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14:paraId="4AE623DA">
      <w:pPr>
        <w:pStyle w:val="4"/>
        <w:ind w:firstLine="2570" w:firstLineChars="800"/>
      </w:pPr>
      <w:r>
        <w:rPr>
          <w:rFonts w:hint="eastAsia" w:ascii="Times New Roman" w:hAnsi="Times New Roman" w:cs="Times New Roman"/>
        </w:rPr>
        <w:t>项目编号：</w:t>
      </w:r>
      <w:r>
        <w:rPr>
          <w:rFonts w:hint="eastAsia" w:ascii="Times New Roman" w:hAnsi="Times New Roman" w:cs="Times New Roman"/>
          <w:u w:val="single"/>
        </w:rPr>
        <w:t xml:space="preserve"> 2025JWZCZB008号 </w:t>
      </w:r>
    </w:p>
    <w:p w14:paraId="0FF1AB9C">
      <w:pPr>
        <w:spacing w:after="156"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hint="eastAsia"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hint="eastAsia" w:ascii="Times New Roman" w:hAnsi="Times New Roman" w:cs="Times New Roman"/>
          <w:b/>
          <w:sz w:val="32"/>
          <w:u w:val="single"/>
        </w:rPr>
        <w:t xml:space="preserve"> </w:t>
      </w:r>
      <w:r>
        <w:rPr>
          <w:rFonts w:ascii="Times New Roman" w:hAnsi="Times New Roman" w:cs="Times New Roman"/>
          <w:b/>
          <w:sz w:val="32"/>
          <w:u w:val="single"/>
        </w:rPr>
        <w:t xml:space="preserve"> </w:t>
      </w:r>
      <w:r>
        <w:rPr>
          <w:rFonts w:ascii="Times New Roman" w:hAnsi="Times New Roman" w:cs="Times New Roman"/>
          <w:b/>
          <w:sz w:val="32"/>
        </w:rPr>
        <w:t>日</w:t>
      </w:r>
    </w:p>
    <w:p w14:paraId="22F49A84">
      <w:pPr>
        <w:widowControl/>
        <w:jc w:val="left"/>
        <w:rPr>
          <w:rFonts w:ascii="Times New Roman" w:hAnsi="Times New Roman" w:cs="Times New Roman"/>
          <w:b/>
          <w:sz w:val="28"/>
        </w:rPr>
      </w:pPr>
      <w:r>
        <w:rPr>
          <w:rFonts w:ascii="Times New Roman" w:hAnsi="Times New Roman" w:cs="Times New Roman"/>
          <w:b/>
          <w:sz w:val="28"/>
        </w:rPr>
        <w:br w:type="page"/>
      </w:r>
    </w:p>
    <w:p w14:paraId="2DFDE379">
      <w:pPr>
        <w:numPr>
          <w:ilvl w:val="0"/>
          <w:numId w:val="4"/>
        </w:numPr>
        <w:spacing w:line="360" w:lineRule="auto"/>
        <w:jc w:val="center"/>
        <w:outlineLvl w:val="2"/>
        <w:rPr>
          <w:rFonts w:ascii="Times New Roman" w:hAnsi="Times New Roman" w:cs="Times New Roman"/>
          <w:b/>
          <w:sz w:val="24"/>
        </w:rPr>
      </w:pPr>
      <w:bookmarkStart w:id="14" w:name="_Hlk23205287"/>
      <w:r>
        <w:rPr>
          <w:rFonts w:ascii="Times New Roman" w:hAnsi="Times New Roman" w:cs="Times New Roman"/>
          <w:b/>
          <w:sz w:val="24"/>
        </w:rPr>
        <w:t>报价表</w:t>
      </w:r>
    </w:p>
    <w:p w14:paraId="297CB56C">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hint="eastAsia" w:ascii="Times New Roman" w:hAnsi="Times New Roman" w:cs="Times New Roman"/>
          <w:b/>
          <w:sz w:val="24"/>
          <w:u w:val="single"/>
        </w:rPr>
        <w:t>合肥经纬资产经营管理有限公司FS420蜘蛛式高空平台等处置资产评估服务项目</w:t>
      </w:r>
      <w:r>
        <w:rPr>
          <w:rFonts w:ascii="Times New Roman" w:hAnsi="Times New Roman" w:cs="Times New Roman"/>
          <w:b/>
          <w:sz w:val="24"/>
          <w:u w:val="single"/>
        </w:rPr>
        <w:t xml:space="preserve"> </w:t>
      </w:r>
    </w:p>
    <w:p w14:paraId="16AD83C6">
      <w:pPr>
        <w:snapToGrid w:val="0"/>
        <w:spacing w:after="156" w:afterLines="50" w:line="360" w:lineRule="auto"/>
        <w:jc w:val="left"/>
        <w:rPr>
          <w:rFonts w:ascii="Times New Roman" w:hAnsi="Times New Roman" w:cs="Times New Roman"/>
          <w:b/>
          <w:bCs/>
          <w:sz w:val="24"/>
          <w:u w:val="single"/>
        </w:rPr>
      </w:pPr>
      <w:r>
        <w:rPr>
          <w:rFonts w:ascii="Times New Roman" w:hAnsi="Times New Roman" w:cs="Times New Roman"/>
          <w:b/>
          <w:sz w:val="24"/>
        </w:rPr>
        <w:t>项目编号：</w:t>
      </w:r>
      <w:r>
        <w:rPr>
          <w:rFonts w:ascii="Times New Roman" w:hAnsi="Times New Roman" w:cs="Times New Roman"/>
          <w:b/>
          <w:sz w:val="24"/>
          <w:u w:val="single"/>
        </w:rPr>
        <w:t xml:space="preserve"> </w:t>
      </w:r>
      <w:r>
        <w:rPr>
          <w:rFonts w:hint="eastAsia" w:ascii="Times New Roman" w:hAnsi="Times New Roman" w:cs="Times New Roman"/>
          <w:b/>
          <w:sz w:val="24"/>
          <w:u w:val="single"/>
        </w:rPr>
        <w:t>2025JWZCZB008号</w:t>
      </w:r>
      <w:r>
        <w:rPr>
          <w:rFonts w:ascii="Times New Roman" w:hAnsi="Times New Roman" w:cs="Times New Roman"/>
          <w:b/>
          <w:sz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4FB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D57243D">
            <w:pPr>
              <w:jc w:val="center"/>
              <w:rPr>
                <w:rFonts w:ascii="Times New Roman" w:hAnsi="Times New Roman" w:cs="Times New Roman"/>
                <w:b/>
                <w:sz w:val="24"/>
              </w:rPr>
            </w:pPr>
            <w:r>
              <w:rPr>
                <w:rFonts w:ascii="Times New Roman" w:hAnsi="Times New Roman" w:cs="Times New Roman"/>
                <w:b/>
                <w:sz w:val="24"/>
              </w:rPr>
              <w:t>投标人名称</w:t>
            </w:r>
          </w:p>
        </w:tc>
        <w:tc>
          <w:tcPr>
            <w:tcW w:w="3557" w:type="pct"/>
            <w:tcBorders>
              <w:left w:val="single" w:color="auto" w:sz="4" w:space="0"/>
            </w:tcBorders>
          </w:tcPr>
          <w:p w14:paraId="4E8EE879">
            <w:pPr>
              <w:rPr>
                <w:rFonts w:ascii="Times New Roman" w:hAnsi="Times New Roman" w:cs="Times New Roman"/>
                <w:b/>
                <w:sz w:val="24"/>
              </w:rPr>
            </w:pPr>
          </w:p>
        </w:tc>
      </w:tr>
      <w:tr w14:paraId="5820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6958E22">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7" w:type="pct"/>
            <w:tcBorders>
              <w:left w:val="single" w:color="auto" w:sz="4" w:space="0"/>
            </w:tcBorders>
            <w:vAlign w:val="center"/>
          </w:tcPr>
          <w:p w14:paraId="33DCDEDA">
            <w:pPr>
              <w:widowControl/>
              <w:rPr>
                <w:rFonts w:ascii="Times New Roman" w:hAnsi="Times New Roman" w:cs="Times New Roman"/>
                <w:b/>
                <w:sz w:val="24"/>
              </w:rPr>
            </w:pPr>
            <w:r>
              <w:rPr>
                <w:rFonts w:ascii="Times New Roman" w:hAnsi="Times New Roman" w:cs="Times New Roman"/>
                <w:sz w:val="24"/>
                <w:szCs w:val="28"/>
              </w:rPr>
              <w:t>全部</w:t>
            </w:r>
          </w:p>
        </w:tc>
      </w:tr>
      <w:tr w14:paraId="19D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51BD8B25">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701BF762">
            <w:pPr>
              <w:jc w:val="center"/>
              <w:rPr>
                <w:rFonts w:ascii="Times New Roman" w:hAnsi="Times New Roman" w:cs="Times New Roman"/>
                <w:b/>
                <w:sz w:val="24"/>
              </w:rPr>
            </w:pPr>
            <w:r>
              <w:rPr>
                <w:rFonts w:ascii="Times New Roman" w:hAnsi="Times New Roman" w:cs="Times New Roman"/>
                <w:b/>
                <w:sz w:val="24"/>
              </w:rPr>
              <w:t>（详见备注说明）</w:t>
            </w:r>
          </w:p>
        </w:tc>
        <w:tc>
          <w:tcPr>
            <w:tcW w:w="3557" w:type="pct"/>
            <w:vAlign w:val="center"/>
          </w:tcPr>
          <w:p w14:paraId="625DF625">
            <w:pPr>
              <w:snapToGrid w:val="0"/>
              <w:rPr>
                <w:rFonts w:ascii="Times New Roman" w:hAnsi="Times New Roman" w:cs="Times New Roman"/>
                <w:sz w:val="24"/>
              </w:rPr>
            </w:pPr>
          </w:p>
          <w:p w14:paraId="49EFEC76">
            <w:pPr>
              <w:snapToGrid w:val="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14:paraId="0D3659EF">
            <w:pPr>
              <w:snapToGrid w:val="0"/>
              <w:rPr>
                <w:rFonts w:ascii="Times New Roman" w:hAnsi="Times New Roman" w:cs="Times New Roman"/>
                <w:b/>
                <w:sz w:val="24"/>
              </w:rPr>
            </w:pPr>
          </w:p>
        </w:tc>
      </w:tr>
      <w:tr w14:paraId="2162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7A7C26E5">
            <w:pPr>
              <w:snapToGrid w:val="0"/>
              <w:jc w:val="center"/>
              <w:rPr>
                <w:rFonts w:ascii="Times New Roman" w:hAnsi="Times New Roman" w:cs="Times New Roman"/>
                <w:b/>
                <w:strike/>
                <w:sz w:val="24"/>
                <w:highlight w:val="yellow"/>
              </w:rPr>
            </w:pPr>
            <w:r>
              <w:rPr>
                <w:rFonts w:hint="eastAsia" w:ascii="Times New Roman" w:hAnsi="Times New Roman" w:cs="Times New Roman"/>
                <w:b/>
                <w:sz w:val="24"/>
              </w:rPr>
              <w:t>服务期限</w:t>
            </w:r>
          </w:p>
        </w:tc>
        <w:tc>
          <w:tcPr>
            <w:tcW w:w="3557" w:type="pct"/>
            <w:vAlign w:val="center"/>
          </w:tcPr>
          <w:p w14:paraId="3B79AE58">
            <w:pPr>
              <w:snapToGrid w:val="0"/>
              <w:rPr>
                <w:rFonts w:ascii="Times New Roman" w:hAnsi="Times New Roman" w:cs="Times New Roman"/>
                <w:b/>
                <w:strike/>
                <w:sz w:val="24"/>
                <w:highlight w:val="yellow"/>
              </w:rPr>
            </w:pPr>
            <w:r>
              <w:rPr>
                <w:rFonts w:hint="eastAsia" w:ascii="Times New Roman" w:hAnsi="Times New Roman" w:cs="Times New Roman"/>
                <w:b/>
                <w:sz w:val="24"/>
                <w:highlight w:val="yellow"/>
              </w:rPr>
              <w:t>/</w:t>
            </w:r>
          </w:p>
        </w:tc>
      </w:tr>
      <w:tr w14:paraId="2FE2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12FB340">
            <w:pPr>
              <w:jc w:val="center"/>
              <w:rPr>
                <w:rFonts w:ascii="Times New Roman" w:hAnsi="Times New Roman" w:cs="Times New Roman"/>
                <w:b/>
                <w:sz w:val="24"/>
              </w:rPr>
            </w:pPr>
            <w:r>
              <w:rPr>
                <w:rFonts w:ascii="Times New Roman" w:hAnsi="Times New Roman" w:cs="Times New Roman"/>
                <w:b/>
                <w:sz w:val="24"/>
              </w:rPr>
              <w:t>备注说明</w:t>
            </w:r>
          </w:p>
        </w:tc>
        <w:tc>
          <w:tcPr>
            <w:tcW w:w="3557" w:type="pct"/>
          </w:tcPr>
          <w:p w14:paraId="246C8CC2">
            <w:pPr>
              <w:rPr>
                <w:rFonts w:ascii="Times New Roman" w:hAnsi="Times New Roman" w:cs="Times New Roman"/>
                <w:b/>
                <w:sz w:val="24"/>
              </w:rPr>
            </w:pPr>
          </w:p>
        </w:tc>
      </w:tr>
    </w:tbl>
    <w:p w14:paraId="56E2C9B9">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6EA9324F">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53691375">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14:paraId="04531E3F">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14:paraId="088E3F39">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14:paraId="4C80EB84">
      <w:pPr>
        <w:adjustRightInd w:val="0"/>
        <w:snapToGrid w:val="0"/>
        <w:spacing w:line="360" w:lineRule="auto"/>
        <w:ind w:firstLine="482" w:firstLineChars="200"/>
        <w:jc w:val="left"/>
        <w:rPr>
          <w:rFonts w:ascii="Times New Roman" w:hAnsi="Times New Roman" w:eastAsia="宋体" w:cs="Times New Roman"/>
          <w:b/>
          <w:sz w:val="24"/>
        </w:rPr>
      </w:pPr>
    </w:p>
    <w:p w14:paraId="39DB9F19">
      <w:pPr>
        <w:adjustRightInd w:val="0"/>
        <w:snapToGrid w:val="0"/>
        <w:spacing w:line="360" w:lineRule="auto"/>
        <w:ind w:firstLine="482" w:firstLineChars="200"/>
        <w:jc w:val="left"/>
        <w:rPr>
          <w:rFonts w:ascii="Times New Roman" w:hAnsi="Times New Roman" w:eastAsia="宋体" w:cs="Times New Roman"/>
          <w:b/>
          <w:sz w:val="24"/>
        </w:rPr>
      </w:pPr>
    </w:p>
    <w:p w14:paraId="0CE4E919">
      <w:pPr>
        <w:adjustRightInd w:val="0"/>
        <w:snapToGrid w:val="0"/>
        <w:spacing w:line="360" w:lineRule="auto"/>
        <w:ind w:firstLine="482" w:firstLineChars="200"/>
        <w:jc w:val="left"/>
        <w:rPr>
          <w:rFonts w:ascii="Times New Roman" w:hAnsi="Times New Roman" w:eastAsia="宋体" w:cs="Times New Roman"/>
          <w:b/>
          <w:sz w:val="24"/>
        </w:rPr>
      </w:pPr>
    </w:p>
    <w:p w14:paraId="545D1435">
      <w:pPr>
        <w:adjustRightInd w:val="0"/>
        <w:snapToGrid w:val="0"/>
        <w:spacing w:line="360" w:lineRule="auto"/>
        <w:ind w:firstLine="482" w:firstLineChars="200"/>
        <w:jc w:val="left"/>
        <w:rPr>
          <w:rFonts w:ascii="Times New Roman" w:hAnsi="Times New Roman" w:eastAsia="宋体" w:cs="Times New Roman"/>
          <w:b/>
          <w:sz w:val="24"/>
        </w:rPr>
      </w:pPr>
    </w:p>
    <w:p w14:paraId="4B859665">
      <w:pPr>
        <w:adjustRightInd w:val="0"/>
        <w:snapToGrid w:val="0"/>
        <w:spacing w:line="360" w:lineRule="auto"/>
        <w:ind w:firstLine="482" w:firstLineChars="200"/>
        <w:jc w:val="left"/>
        <w:rPr>
          <w:rFonts w:ascii="Times New Roman" w:hAnsi="Times New Roman" w:eastAsia="宋体" w:cs="Times New Roman"/>
          <w:b/>
          <w:sz w:val="24"/>
        </w:rPr>
      </w:pPr>
    </w:p>
    <w:p w14:paraId="247ACB2D">
      <w:pPr>
        <w:adjustRightInd w:val="0"/>
        <w:snapToGrid w:val="0"/>
        <w:spacing w:line="360" w:lineRule="auto"/>
        <w:ind w:firstLine="482" w:firstLineChars="200"/>
        <w:jc w:val="left"/>
        <w:rPr>
          <w:rFonts w:ascii="Times New Roman" w:hAnsi="Times New Roman" w:eastAsia="宋体" w:cs="Times New Roman"/>
          <w:b/>
          <w:sz w:val="24"/>
        </w:rPr>
      </w:pPr>
    </w:p>
    <w:p w14:paraId="10156C45">
      <w:pPr>
        <w:adjustRightInd w:val="0"/>
        <w:snapToGrid w:val="0"/>
        <w:spacing w:line="360" w:lineRule="auto"/>
        <w:ind w:firstLine="482" w:firstLineChars="200"/>
        <w:jc w:val="left"/>
        <w:rPr>
          <w:rFonts w:ascii="Times New Roman" w:hAnsi="Times New Roman" w:eastAsia="宋体" w:cs="Times New Roman"/>
          <w:b/>
          <w:sz w:val="24"/>
        </w:rPr>
      </w:pPr>
    </w:p>
    <w:p w14:paraId="008E853A">
      <w:pPr>
        <w:spacing w:line="440" w:lineRule="exact"/>
        <w:ind w:firstLine="435"/>
        <w:rPr>
          <w:rFonts w:ascii="Times New Roman" w:hAnsi="Times New Roman" w:cs="Times New Roman"/>
          <w:sz w:val="24"/>
        </w:rPr>
      </w:pPr>
      <w:r>
        <w:rPr>
          <w:rFonts w:ascii="Times New Roman" w:hAnsi="Times New Roman" w:cs="Times New Roman"/>
          <w:sz w:val="24"/>
        </w:rPr>
        <w:br w:type="page"/>
      </w:r>
    </w:p>
    <w:p w14:paraId="1779A3D6">
      <w:pPr>
        <w:spacing w:line="360" w:lineRule="auto"/>
        <w:jc w:val="center"/>
        <w:outlineLvl w:val="2"/>
        <w:rPr>
          <w:rFonts w:ascii="Times New Roman" w:hAnsi="Times New Roman" w:cs="Times New Roman"/>
          <w:b/>
          <w:sz w:val="24"/>
        </w:rPr>
      </w:pPr>
      <w:r>
        <w:rPr>
          <w:rFonts w:ascii="Times New Roman" w:hAnsi="Times New Roman" w:cs="Times New Roman"/>
          <w:b/>
          <w:sz w:val="24"/>
        </w:rPr>
        <w:t>二、投标函</w:t>
      </w:r>
    </w:p>
    <w:p w14:paraId="44A6EAA0">
      <w:pPr>
        <w:pStyle w:val="13"/>
        <w:spacing w:line="360" w:lineRule="auto"/>
        <w:ind w:left="0" w:leftChars="0"/>
        <w:rPr>
          <w:rFonts w:ascii="Times New Roman" w:hAnsi="Times New Roman" w:cs="Times New Roman"/>
          <w:sz w:val="24"/>
        </w:rPr>
      </w:pPr>
      <w:r>
        <w:rPr>
          <w:rFonts w:ascii="Times New Roman" w:hAnsi="Times New Roman" w:cs="Times New Roman"/>
          <w:sz w:val="24"/>
        </w:rPr>
        <w:t>致：</w:t>
      </w:r>
      <w:r>
        <w:rPr>
          <w:rFonts w:hint="eastAsia" w:cs="宋体" w:asciiTheme="minorEastAsia" w:hAnsiTheme="minorEastAsia"/>
          <w:b/>
          <w:sz w:val="24"/>
          <w:u w:val="single"/>
        </w:rPr>
        <w:t>合肥经纬资产经营管理有限公司</w:t>
      </w:r>
    </w:p>
    <w:p w14:paraId="16030D5E">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14:paraId="6373B0C7">
      <w:pPr>
        <w:spacing w:line="36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cs="宋体" w:asciiTheme="minorEastAsia" w:hAnsiTheme="minorEastAsia"/>
          <w:sz w:val="24"/>
        </w:rPr>
        <w:t>经踏勘项目现场和研究上述询价文件的询价须知、合同条款、招标人要求及其他有关文件后，我方接受上述文件要求。我方</w:t>
      </w:r>
      <w:r>
        <w:rPr>
          <w:rFonts w:hint="eastAsia" w:cs="宋体" w:asciiTheme="minorEastAsia" w:hAnsiTheme="minorEastAsia"/>
          <w:bCs/>
          <w:sz w:val="24"/>
        </w:rPr>
        <w:t>承诺按本</w:t>
      </w:r>
      <w:r>
        <w:rPr>
          <w:rFonts w:hint="eastAsia" w:cs="宋体" w:asciiTheme="minorEastAsia" w:hAnsiTheme="minorEastAsia"/>
          <w:sz w:val="24"/>
        </w:rPr>
        <w:t>询价</w:t>
      </w:r>
      <w:r>
        <w:rPr>
          <w:rFonts w:hint="eastAsia" w:cs="宋体" w:asciiTheme="minorEastAsia" w:hAnsiTheme="minorEastAsia"/>
          <w:bCs/>
          <w:sz w:val="24"/>
        </w:rPr>
        <w:t>文件、合同条款和招标人要求承担上述项目的全部内容。</w:t>
      </w:r>
    </w:p>
    <w:p w14:paraId="490924E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我方已详细审核全部询价文件，包括询价文件的补疑、澄清、变更或补充（如有），参考资料及有关附件，我方正式认可并遵守本次询价文件，并对询价文件各项条款（包括询价时间）、规定及要求均无异议。且我方自愿放弃</w:t>
      </w:r>
      <w:r>
        <w:rPr>
          <w:rFonts w:hint="eastAsia" w:ascii="Times New Roman" w:hAnsi="Times New Roman" w:cs="Times New Roman"/>
          <w:sz w:val="24"/>
        </w:rPr>
        <w:t>针对</w:t>
      </w:r>
      <w:r>
        <w:rPr>
          <w:rFonts w:ascii="Times New Roman" w:hAnsi="Times New Roman" w:cs="Times New Roman"/>
          <w:sz w:val="24"/>
        </w:rPr>
        <w:t>上述各项条款提出异议的权利。</w:t>
      </w:r>
    </w:p>
    <w:p w14:paraId="4C30C15D">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.如我方中标，我方承诺愿意按询价文件规定缴纳履约保证金。</w:t>
      </w:r>
      <w:r>
        <w:rPr>
          <w:rFonts w:hint="eastAsia"/>
          <w:sz w:val="24"/>
        </w:rPr>
        <w:t>按本次询价文件规定及最终投标报价承诺提供服务</w:t>
      </w:r>
      <w:r>
        <w:rPr>
          <w:rFonts w:ascii="Times New Roman" w:hAnsi="Times New Roman" w:cs="Times New Roman"/>
          <w:sz w:val="24"/>
        </w:rPr>
        <w:t>。</w:t>
      </w:r>
    </w:p>
    <w:p w14:paraId="2A33DD7F">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.我方根据本次询价文件的规定，严格履行合同的责任和义务,并保证于你方要求的日期内完成供货（安装）及服务，并通过你方验收。</w:t>
      </w:r>
    </w:p>
    <w:p w14:paraId="0F084E1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.我方同意按你方要求在规定时间内向你方提供与其投标有关的任何证据或补充资料，否则，我方的投标文件可被你方拒绝。</w:t>
      </w:r>
    </w:p>
    <w:p w14:paraId="0BF53EF1">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.我方同意询价文件规定的付款方式、供货（安装）期限。</w:t>
      </w:r>
    </w:p>
    <w:p w14:paraId="65EDAC1C">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.我方对投标文件中所提供资料、文件、证书及证件的真实性和有效性负责。</w:t>
      </w:r>
    </w:p>
    <w:p w14:paraId="4E6F9DAD">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.我方同意所提交的投标文件在询价文件规定的投标有效期内有效，在此期间内如果中标，我方将受此约束。</w:t>
      </w:r>
    </w:p>
    <w:p w14:paraId="69E2C80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9</w:t>
      </w:r>
      <w:r>
        <w:rPr>
          <w:rFonts w:ascii="Times New Roman" w:hAnsi="Times New Roman" w:cs="Times New Roman"/>
          <w:sz w:val="24"/>
        </w:rPr>
        <w:t>.除非另外达成协议并生效，你方的中标通知书和本投标文件以及询价文件、询价文件澄清、修改、补充将成为约束双方的合同文件的组成部分。</w:t>
      </w:r>
    </w:p>
    <w:p w14:paraId="5A73975B">
      <w:pPr>
        <w:spacing w:line="360" w:lineRule="auto"/>
        <w:ind w:firstLine="480" w:firstLineChars="200"/>
        <w:rPr>
          <w:rFonts w:ascii="Times New Roman" w:hAnsi="Times New Roman" w:cs="Times New Roman"/>
        </w:rPr>
      </w:pPr>
      <w:r>
        <w:rPr>
          <w:rFonts w:hint="eastAsia" w:ascii="Times New Roman" w:hAnsi="Times New Roman" w:cs="Times New Roman"/>
          <w:sz w:val="24"/>
        </w:rPr>
        <w:t>10</w:t>
      </w:r>
      <w:r>
        <w:rPr>
          <w:rFonts w:ascii="Times New Roman" w:hAnsi="Times New Roman" w:cs="Times New Roman"/>
          <w:sz w:val="24"/>
        </w:rPr>
        <w:t>.其他补充说明：</w:t>
      </w:r>
      <w:r>
        <w:rPr>
          <w:rFonts w:ascii="Times New Roman" w:hAnsi="Times New Roman" w:cs="Times New Roman"/>
          <w:sz w:val="24"/>
          <w:u w:val="single"/>
        </w:rPr>
        <w:t xml:space="preserve">             补充说明事项（如有）       </w:t>
      </w:r>
    </w:p>
    <w:p w14:paraId="18733E5B">
      <w:pPr>
        <w:pStyle w:val="21"/>
        <w:ind w:firstLine="210"/>
        <w:rPr>
          <w:rFonts w:ascii="Times New Roman" w:hAnsi="Times New Roman" w:cs="Times New Roman"/>
        </w:rPr>
      </w:pPr>
    </w:p>
    <w:p w14:paraId="2974707C">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14:paraId="75B22E0B">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14:paraId="66168B15">
      <w:pPr>
        <w:widowControl/>
        <w:spacing w:line="360" w:lineRule="auto"/>
        <w:jc w:val="left"/>
        <w:rPr>
          <w:rFonts w:ascii="Times New Roman" w:hAnsi="Times New Roman" w:cs="Times New Roman"/>
          <w:sz w:val="24"/>
        </w:rPr>
      </w:pPr>
      <w:r>
        <w:rPr>
          <w:rFonts w:ascii="Times New Roman" w:hAnsi="Times New Roman" w:cs="Times New Roman"/>
          <w:sz w:val="24"/>
        </w:rPr>
        <w:br w:type="page"/>
      </w:r>
    </w:p>
    <w:p w14:paraId="3E318A97">
      <w:pPr>
        <w:spacing w:line="360" w:lineRule="auto"/>
        <w:jc w:val="center"/>
        <w:outlineLvl w:val="2"/>
        <w:rPr>
          <w:rFonts w:ascii="Times New Roman" w:hAnsi="Times New Roman" w:eastAsia="宋体" w:cs="Times New Roman"/>
          <w:b/>
          <w:sz w:val="24"/>
        </w:rPr>
      </w:pPr>
      <w:bookmarkStart w:id="15" w:name="_Toc520983594"/>
      <w:bookmarkStart w:id="16" w:name="_Toc204594911"/>
      <w:bookmarkStart w:id="17" w:name="_Toc516969106"/>
      <w:bookmarkStart w:id="18" w:name="_Toc3356"/>
      <w:bookmarkStart w:id="19" w:name="_Toc121626298"/>
      <w:r>
        <w:rPr>
          <w:rFonts w:hint="eastAsia" w:asciiTheme="minorEastAsia" w:hAnsiTheme="minorEastAsia"/>
          <w:b/>
          <w:sz w:val="24"/>
        </w:rPr>
        <w:t>三、</w:t>
      </w:r>
      <w:r>
        <w:rPr>
          <w:rFonts w:ascii="Times New Roman" w:hAnsi="Times New Roman" w:eastAsia="宋体" w:cs="Times New Roman"/>
          <w:b/>
          <w:sz w:val="24"/>
        </w:rPr>
        <w:t>法定代表人（单位负责人）身份证明或授权委托书</w:t>
      </w:r>
    </w:p>
    <w:p w14:paraId="2B41686A">
      <w:pPr>
        <w:spacing w:line="500" w:lineRule="exact"/>
        <w:ind w:firstLine="1164" w:firstLineChars="414"/>
        <w:rPr>
          <w:b/>
          <w:bCs/>
          <w:sz w:val="28"/>
          <w:szCs w:val="22"/>
        </w:rPr>
      </w:pPr>
    </w:p>
    <w:p w14:paraId="546A8D46">
      <w:pPr>
        <w:spacing w:line="500" w:lineRule="exact"/>
        <w:jc w:val="center"/>
        <w:rPr>
          <w:rFonts w:eastAsia="黑体"/>
          <w:bCs/>
          <w:sz w:val="24"/>
        </w:rPr>
      </w:pPr>
      <w:r>
        <w:rPr>
          <w:rFonts w:eastAsia="黑体"/>
          <w:bCs/>
          <w:sz w:val="24"/>
        </w:rPr>
        <w:t>法定代表人（单位负责人）身份证明</w:t>
      </w:r>
    </w:p>
    <w:p w14:paraId="0AA5E80B">
      <w:pPr>
        <w:spacing w:line="500" w:lineRule="exact"/>
        <w:ind w:left="765"/>
        <w:rPr>
          <w:szCs w:val="22"/>
        </w:rPr>
      </w:pPr>
    </w:p>
    <w:p w14:paraId="51266A46">
      <w:pPr>
        <w:spacing w:line="500" w:lineRule="exact"/>
        <w:rPr>
          <w:szCs w:val="21"/>
        </w:rPr>
      </w:pPr>
      <w:r>
        <w:rPr>
          <w:szCs w:val="21"/>
        </w:rPr>
        <w:t>投 标 人：</w:t>
      </w:r>
      <w:r>
        <w:rPr>
          <w:szCs w:val="21"/>
          <w:u w:val="single"/>
        </w:rPr>
        <w:t xml:space="preserve">                                                        </w:t>
      </w:r>
    </w:p>
    <w:p w14:paraId="636F9D29">
      <w:pPr>
        <w:spacing w:line="500" w:lineRule="exact"/>
        <w:rPr>
          <w:szCs w:val="21"/>
        </w:rPr>
      </w:pPr>
      <w:r>
        <w:rPr>
          <w:szCs w:val="21"/>
        </w:rPr>
        <w:t>单位性质：</w:t>
      </w:r>
      <w:r>
        <w:rPr>
          <w:szCs w:val="21"/>
          <w:u w:val="single"/>
        </w:rPr>
        <w:t xml:space="preserve">                                                        </w:t>
      </w:r>
    </w:p>
    <w:p w14:paraId="6F4F7316">
      <w:pPr>
        <w:spacing w:line="500" w:lineRule="exact"/>
        <w:rPr>
          <w:szCs w:val="21"/>
        </w:rPr>
      </w:pPr>
      <w:r>
        <w:rPr>
          <w:szCs w:val="21"/>
        </w:rPr>
        <w:t>地    址：</w:t>
      </w:r>
      <w:r>
        <w:rPr>
          <w:szCs w:val="21"/>
          <w:u w:val="single"/>
        </w:rPr>
        <w:t xml:space="preserve">                                                        </w:t>
      </w:r>
    </w:p>
    <w:p w14:paraId="33C20074">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8AC84F7">
      <w:pPr>
        <w:spacing w:line="500" w:lineRule="exact"/>
        <w:rPr>
          <w:szCs w:val="21"/>
        </w:rPr>
      </w:pPr>
      <w:r>
        <w:rPr>
          <w:szCs w:val="21"/>
        </w:rPr>
        <w:t>经营期限：</w:t>
      </w:r>
      <w:r>
        <w:rPr>
          <w:szCs w:val="21"/>
          <w:u w:val="single"/>
        </w:rPr>
        <w:t xml:space="preserve">                                                        </w:t>
      </w:r>
    </w:p>
    <w:p w14:paraId="71B2D959">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51D67C89">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62C292AA">
      <w:pPr>
        <w:spacing w:line="500" w:lineRule="exact"/>
        <w:rPr>
          <w:szCs w:val="21"/>
        </w:rPr>
      </w:pPr>
      <w:r>
        <w:rPr>
          <w:szCs w:val="21"/>
        </w:rPr>
        <w:t>系</w:t>
      </w:r>
      <w:r>
        <w:rPr>
          <w:szCs w:val="21"/>
          <w:u w:val="single"/>
        </w:rPr>
        <w:t xml:space="preserve">                                        </w:t>
      </w:r>
      <w:r>
        <w:rPr>
          <w:szCs w:val="21"/>
        </w:rPr>
        <w:t>（投标人名称）的法定代表人（单位负责人）。</w:t>
      </w:r>
    </w:p>
    <w:p w14:paraId="7AD85C17">
      <w:pPr>
        <w:spacing w:line="500" w:lineRule="exact"/>
        <w:rPr>
          <w:szCs w:val="21"/>
        </w:rPr>
      </w:pPr>
      <w:r>
        <w:rPr>
          <w:szCs w:val="21"/>
        </w:rPr>
        <w:t>特此证明。</w:t>
      </w:r>
    </w:p>
    <w:p w14:paraId="2987A2BB">
      <w:pPr>
        <w:spacing w:line="500" w:lineRule="exact"/>
        <w:rPr>
          <w:szCs w:val="21"/>
        </w:rPr>
      </w:pPr>
    </w:p>
    <w:p w14:paraId="08B02FD8">
      <w:pPr>
        <w:spacing w:line="500" w:lineRule="exact"/>
        <w:rPr>
          <w:szCs w:val="21"/>
        </w:rPr>
      </w:pPr>
    </w:p>
    <w:p w14:paraId="7DC97F2A">
      <w:pPr>
        <w:wordWrap w:val="0"/>
        <w:spacing w:line="500" w:lineRule="exact"/>
        <w:jc w:val="right"/>
        <w:rPr>
          <w:szCs w:val="21"/>
        </w:rPr>
      </w:pPr>
      <w:r>
        <w:rPr>
          <w:szCs w:val="21"/>
        </w:rPr>
        <w:t>投标人：</w:t>
      </w:r>
      <w:r>
        <w:rPr>
          <w:szCs w:val="21"/>
          <w:u w:val="single"/>
        </w:rPr>
        <w:t xml:space="preserve">                          </w:t>
      </w:r>
      <w:r>
        <w:rPr>
          <w:szCs w:val="21"/>
        </w:rPr>
        <w:t>（盖单位章）</w:t>
      </w:r>
    </w:p>
    <w:p w14:paraId="1BC97795">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bookmarkEnd w:id="15"/>
    <w:bookmarkEnd w:id="16"/>
    <w:bookmarkEnd w:id="17"/>
    <w:bookmarkEnd w:id="18"/>
    <w:bookmarkEnd w:id="19"/>
    <w:p w14:paraId="6A25F878">
      <w:pPr>
        <w:spacing w:line="500" w:lineRule="exact"/>
        <w:jc w:val="center"/>
        <w:rPr>
          <w:rFonts w:eastAsia="黑体"/>
          <w:bCs/>
          <w:sz w:val="24"/>
        </w:rPr>
      </w:pPr>
    </w:p>
    <w:p w14:paraId="4A975FA3">
      <w:pPr>
        <w:spacing w:line="500" w:lineRule="exact"/>
        <w:jc w:val="center"/>
        <w:rPr>
          <w:rFonts w:eastAsia="黑体"/>
          <w:bCs/>
          <w:sz w:val="24"/>
        </w:rPr>
      </w:pPr>
    </w:p>
    <w:p w14:paraId="24FDC35A">
      <w:pPr>
        <w:spacing w:line="500" w:lineRule="exact"/>
        <w:jc w:val="center"/>
        <w:rPr>
          <w:rFonts w:eastAsia="黑体"/>
          <w:bCs/>
          <w:sz w:val="24"/>
        </w:rPr>
      </w:pPr>
    </w:p>
    <w:p w14:paraId="518AE66F">
      <w:pPr>
        <w:spacing w:line="500" w:lineRule="exact"/>
        <w:jc w:val="center"/>
        <w:rPr>
          <w:rFonts w:eastAsia="黑体"/>
          <w:bCs/>
          <w:sz w:val="24"/>
        </w:rPr>
      </w:pPr>
    </w:p>
    <w:p w14:paraId="2B090A99">
      <w:pPr>
        <w:spacing w:line="500" w:lineRule="exact"/>
        <w:jc w:val="center"/>
        <w:rPr>
          <w:rFonts w:eastAsia="黑体"/>
          <w:bCs/>
          <w:sz w:val="24"/>
        </w:rPr>
      </w:pPr>
    </w:p>
    <w:p w14:paraId="1D042D43">
      <w:pPr>
        <w:spacing w:line="500" w:lineRule="exact"/>
        <w:jc w:val="center"/>
        <w:rPr>
          <w:rFonts w:eastAsia="黑体"/>
          <w:bCs/>
          <w:sz w:val="24"/>
        </w:rPr>
      </w:pPr>
    </w:p>
    <w:p w14:paraId="2AE6B087">
      <w:pPr>
        <w:spacing w:line="500" w:lineRule="exact"/>
        <w:jc w:val="center"/>
        <w:rPr>
          <w:rFonts w:eastAsia="黑体"/>
          <w:bCs/>
          <w:sz w:val="24"/>
        </w:rPr>
      </w:pPr>
    </w:p>
    <w:p w14:paraId="7E2A9E38">
      <w:pPr>
        <w:spacing w:line="500" w:lineRule="exact"/>
        <w:jc w:val="center"/>
        <w:rPr>
          <w:rFonts w:eastAsia="黑体"/>
          <w:bCs/>
          <w:sz w:val="24"/>
        </w:rPr>
      </w:pPr>
    </w:p>
    <w:p w14:paraId="06486541">
      <w:pPr>
        <w:spacing w:line="500" w:lineRule="exact"/>
        <w:jc w:val="center"/>
        <w:rPr>
          <w:rFonts w:eastAsia="黑体"/>
          <w:bCs/>
          <w:sz w:val="24"/>
        </w:rPr>
      </w:pPr>
    </w:p>
    <w:p w14:paraId="462C305F">
      <w:pPr>
        <w:spacing w:line="500" w:lineRule="exact"/>
        <w:jc w:val="center"/>
        <w:rPr>
          <w:rFonts w:eastAsia="黑体"/>
          <w:bCs/>
          <w:sz w:val="24"/>
        </w:rPr>
      </w:pPr>
    </w:p>
    <w:p w14:paraId="4305D7E3">
      <w:pPr>
        <w:spacing w:line="500" w:lineRule="exact"/>
        <w:jc w:val="center"/>
        <w:rPr>
          <w:rFonts w:eastAsia="黑体"/>
          <w:sz w:val="32"/>
          <w:szCs w:val="32"/>
        </w:rPr>
      </w:pPr>
      <w:r>
        <w:rPr>
          <w:rFonts w:eastAsia="黑体"/>
          <w:bCs/>
          <w:sz w:val="24"/>
        </w:rPr>
        <w:t>授权委托书</w:t>
      </w:r>
    </w:p>
    <w:p w14:paraId="1B53DCED">
      <w:pPr>
        <w:spacing w:line="500" w:lineRule="exact"/>
      </w:pPr>
    </w:p>
    <w:p w14:paraId="66F551F1">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szCs w:val="21"/>
          <w:u w:val="single"/>
        </w:rPr>
        <w:t>合肥经纬资产经营管理有限公司FS420蜘蛛式高空平台等处置资产评估服务项目</w:t>
      </w:r>
      <w:r>
        <w:rPr>
          <w:szCs w:val="21"/>
        </w:rPr>
        <w:t>投标文件、签订合同和处理有关事宜，其法律后果由我方承担。</w:t>
      </w:r>
    </w:p>
    <w:p w14:paraId="1AFCF5EE">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14:paraId="144C72C4">
      <w:pPr>
        <w:snapToGrid w:val="0"/>
        <w:spacing w:line="500" w:lineRule="exact"/>
        <w:ind w:firstLine="420" w:firstLineChars="200"/>
        <w:rPr>
          <w:szCs w:val="21"/>
        </w:rPr>
      </w:pPr>
      <w:r>
        <w:rPr>
          <w:szCs w:val="21"/>
        </w:rPr>
        <w:t>代理人无转委托权。</w:t>
      </w:r>
    </w:p>
    <w:p w14:paraId="35609D19">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7A8DEC24">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14:paraId="0AD870D6">
      <w:pPr>
        <w:spacing w:line="500" w:lineRule="exact"/>
        <w:rPr>
          <w:szCs w:val="21"/>
        </w:rPr>
      </w:pPr>
    </w:p>
    <w:p w14:paraId="6EFF0236">
      <w:pPr>
        <w:spacing w:line="500" w:lineRule="exact"/>
        <w:ind w:firstLine="3150" w:firstLineChars="1500"/>
        <w:rPr>
          <w:szCs w:val="21"/>
        </w:rPr>
      </w:pPr>
      <w:r>
        <w:rPr>
          <w:szCs w:val="21"/>
        </w:rPr>
        <w:t>投  标  人：</w:t>
      </w:r>
      <w:r>
        <w:rPr>
          <w:szCs w:val="21"/>
          <w:u w:val="single"/>
        </w:rPr>
        <w:t xml:space="preserve">                         </w:t>
      </w:r>
      <w:r>
        <w:rPr>
          <w:szCs w:val="21"/>
        </w:rPr>
        <w:t>（盖单位章）</w:t>
      </w:r>
    </w:p>
    <w:p w14:paraId="2CBDD485">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1B9B2636">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36EF43F3">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ED84BD0">
      <w:pPr>
        <w:autoSpaceDE w:val="0"/>
        <w:autoSpaceDN w:val="0"/>
        <w:adjustRightInd w:val="0"/>
        <w:snapToGrid w:val="0"/>
        <w:spacing w:line="500" w:lineRule="exact"/>
        <w:jc w:val="left"/>
        <w:rPr>
          <w:kern w:val="0"/>
          <w:szCs w:val="22"/>
        </w:rPr>
      </w:pPr>
    </w:p>
    <w:p w14:paraId="5F8CB8CE">
      <w:pPr>
        <w:tabs>
          <w:tab w:val="left" w:pos="5760"/>
        </w:tabs>
        <w:autoSpaceDE w:val="0"/>
        <w:autoSpaceDN w:val="0"/>
        <w:adjustRightInd w:val="0"/>
        <w:spacing w:line="500" w:lineRule="exact"/>
        <w:ind w:right="11"/>
        <w:rPr>
          <w:kern w:val="0"/>
          <w:szCs w:val="22"/>
        </w:rPr>
      </w:pPr>
      <w:r>
        <w:rPr>
          <w:kern w:val="0"/>
          <w:szCs w:val="22"/>
        </w:rPr>
        <w:t>注：</w:t>
      </w:r>
    </w:p>
    <w:p w14:paraId="6AF5B374">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5EA545A0">
      <w:pPr>
        <w:spacing w:line="360" w:lineRule="auto"/>
        <w:jc w:val="left"/>
        <w:rPr>
          <w:sz w:val="24"/>
        </w:rPr>
      </w:pPr>
    </w:p>
    <w:p w14:paraId="2C128C6F">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5475BE59">
      <w:pPr>
        <w:spacing w:line="360" w:lineRule="auto"/>
        <w:jc w:val="center"/>
        <w:outlineLvl w:val="1"/>
        <w:rPr>
          <w:rFonts w:asciiTheme="minorEastAsia" w:hAnsiTheme="minorEastAsia"/>
          <w:b/>
          <w:sz w:val="24"/>
          <w:szCs w:val="20"/>
        </w:rPr>
      </w:pPr>
      <w:r>
        <w:rPr>
          <w:rFonts w:hint="eastAsia" w:asciiTheme="minorEastAsia" w:hAnsiTheme="minorEastAsia"/>
          <w:b/>
          <w:sz w:val="24"/>
          <w:szCs w:val="20"/>
        </w:rPr>
        <w:t>四、其他相关证明材料</w:t>
      </w:r>
    </w:p>
    <w:p w14:paraId="14A0C603">
      <w:pPr>
        <w:pStyle w:val="22"/>
        <w:numPr>
          <w:ilvl w:val="255"/>
          <w:numId w:val="0"/>
        </w:numPr>
        <w:ind w:left="400"/>
        <w:rPr>
          <w:sz w:val="24"/>
          <w:szCs w:val="22"/>
        </w:rPr>
      </w:pPr>
      <w:r>
        <w:rPr>
          <w:rFonts w:hint="eastAsia"/>
          <w:sz w:val="24"/>
          <w:szCs w:val="22"/>
        </w:rPr>
        <w:t>提供符合询价公告、招标人要求及评审方法规定的相关证明文件。</w:t>
      </w:r>
    </w:p>
    <w:p w14:paraId="25BA49B5">
      <w:pPr>
        <w:pStyle w:val="22"/>
        <w:spacing w:line="360" w:lineRule="auto"/>
        <w:ind w:left="400" w:leftChars="0" w:firstLine="0" w:firstLineChars="0"/>
        <w:rPr>
          <w:rFonts w:ascii="Times New Roman" w:hAnsi="Times New Roman" w:cs="Times New Roman"/>
          <w:sz w:val="24"/>
        </w:rPr>
      </w:pPr>
      <w:r>
        <w:rPr>
          <w:rFonts w:hint="eastAsia"/>
          <w:sz w:val="24"/>
          <w:szCs w:val="22"/>
        </w:rPr>
        <w:t>（营业执照等）</w:t>
      </w:r>
      <w:bookmarkEnd w:id="14"/>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C168E7F-931A-4C05-87B8-60DE4BDD2EE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8C00066-2973-4C9C-923A-3801FDB72B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E2AB8A7-F193-4076-B3F1-A98E718880F4}"/>
  </w:font>
  <w:font w:name="@仿宋_GB2312">
    <w:panose1 w:val="02010609030101010101"/>
    <w:charset w:val="86"/>
    <w:family w:val="modern"/>
    <w:pitch w:val="default"/>
    <w:sig w:usb0="00000001" w:usb1="080E0000" w:usb2="00000000" w:usb3="00000000" w:csb0="00040000" w:csb1="00000000"/>
    <w:embedRegular r:id="rId4" w:fontKey="{F5732F38-A53E-4E1A-87BE-18BF3FCD7F7E}"/>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5" w:fontKey="{39BFB8E1-7883-4832-A55B-62CB47DA1C20}"/>
  </w:font>
  <w:font w:name="Segoe UI Symbol">
    <w:panose1 w:val="020B0502040204020203"/>
    <w:charset w:val="00"/>
    <w:family w:val="swiss"/>
    <w:pitch w:val="default"/>
    <w:sig w:usb0="800001E3" w:usb1="1200FFEF" w:usb2="00040000" w:usb3="04000000" w:csb0="00000001" w:csb1="40000000"/>
    <w:embedRegular r:id="rId6" w:fontKey="{1E1D9713-52A4-4DE1-A5BC-DC1C18E1F7B6}"/>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BF7B">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5D3F">
    <w:pPr>
      <w:pStyle w:val="15"/>
      <w:rPr>
        <w:rFonts w:asciiTheme="minorEastAsia" w:hAnsi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7D50">
    <w:pPr>
      <w:pStyle w:val="15"/>
      <w:rPr>
        <w:rFonts w:asciiTheme="minorEastAsia" w:hAnsiTheme="minorEastAsia"/>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67BB">
    <w:pPr>
      <w:pBdr>
        <w:bottom w:val="none" w:color="auto" w:sz="0" w:space="1"/>
      </w:pBdr>
      <w:snapToGrid w:val="0"/>
      <w:rPr>
        <w:rFonts w:ascii="Times New Roman" w:hAnsi="Times New Roman" w:eastAsia="宋体" w:cs="Times New Roman"/>
        <w:sz w:val="24"/>
      </w:rPr>
    </w:pPr>
  </w:p>
  <w:p w14:paraId="44FDD51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CD6B8C8D"/>
    <w:multiLevelType w:val="singleLevel"/>
    <w:tmpl w:val="CD6B8C8D"/>
    <w:lvl w:ilvl="0" w:tentative="0">
      <w:start w:val="1"/>
      <w:numFmt w:val="decimal"/>
      <w:suff w:val="nothing"/>
      <w:lvlText w:val="（%1）"/>
      <w:lvlJc w:val="left"/>
    </w:lvl>
  </w:abstractNum>
  <w:abstractNum w:abstractNumId="3">
    <w:nsid w:val="3945F091"/>
    <w:multiLevelType w:val="singleLevel"/>
    <w:tmpl w:val="3945F091"/>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yNmE3ZTQyYWIyNzJkNWYyY2Y3Y2RlODZkOTg3YjkifQ=="/>
  </w:docVars>
  <w:rsids>
    <w:rsidRoot w:val="00276BA1"/>
    <w:rsid w:val="0000043F"/>
    <w:rsid w:val="000020D0"/>
    <w:rsid w:val="00002178"/>
    <w:rsid w:val="00003B1C"/>
    <w:rsid w:val="000049DA"/>
    <w:rsid w:val="000056B7"/>
    <w:rsid w:val="00005DDD"/>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1350"/>
    <w:rsid w:val="000530EC"/>
    <w:rsid w:val="000544DE"/>
    <w:rsid w:val="00057E76"/>
    <w:rsid w:val="00061134"/>
    <w:rsid w:val="0006210F"/>
    <w:rsid w:val="0006460A"/>
    <w:rsid w:val="000648D2"/>
    <w:rsid w:val="0006565F"/>
    <w:rsid w:val="0006758C"/>
    <w:rsid w:val="00070E0E"/>
    <w:rsid w:val="00073C57"/>
    <w:rsid w:val="00076DB7"/>
    <w:rsid w:val="00080FEB"/>
    <w:rsid w:val="000871CC"/>
    <w:rsid w:val="00094D41"/>
    <w:rsid w:val="00097CB9"/>
    <w:rsid w:val="000A458A"/>
    <w:rsid w:val="000A6693"/>
    <w:rsid w:val="000A6B73"/>
    <w:rsid w:val="000A7D94"/>
    <w:rsid w:val="000B1511"/>
    <w:rsid w:val="000B54F4"/>
    <w:rsid w:val="000C1DB1"/>
    <w:rsid w:val="000D1414"/>
    <w:rsid w:val="000D2188"/>
    <w:rsid w:val="000D3222"/>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540B"/>
    <w:rsid w:val="001770B6"/>
    <w:rsid w:val="0018119B"/>
    <w:rsid w:val="001844AB"/>
    <w:rsid w:val="00191C9B"/>
    <w:rsid w:val="001944B8"/>
    <w:rsid w:val="00195E11"/>
    <w:rsid w:val="00196DA3"/>
    <w:rsid w:val="00197AC4"/>
    <w:rsid w:val="001A03E3"/>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0510"/>
    <w:rsid w:val="0023407E"/>
    <w:rsid w:val="00240278"/>
    <w:rsid w:val="00240B40"/>
    <w:rsid w:val="002440D8"/>
    <w:rsid w:val="00244182"/>
    <w:rsid w:val="002530E9"/>
    <w:rsid w:val="00260B94"/>
    <w:rsid w:val="00262256"/>
    <w:rsid w:val="00264F2E"/>
    <w:rsid w:val="00271245"/>
    <w:rsid w:val="00274A9E"/>
    <w:rsid w:val="00276292"/>
    <w:rsid w:val="00276BA1"/>
    <w:rsid w:val="00276F29"/>
    <w:rsid w:val="00277094"/>
    <w:rsid w:val="00277264"/>
    <w:rsid w:val="00280838"/>
    <w:rsid w:val="00286D62"/>
    <w:rsid w:val="002872DE"/>
    <w:rsid w:val="00287EF5"/>
    <w:rsid w:val="002927A3"/>
    <w:rsid w:val="00295AF5"/>
    <w:rsid w:val="002A1A1D"/>
    <w:rsid w:val="002A1B15"/>
    <w:rsid w:val="002A210D"/>
    <w:rsid w:val="002A28AD"/>
    <w:rsid w:val="002B5318"/>
    <w:rsid w:val="002B6D27"/>
    <w:rsid w:val="002C140E"/>
    <w:rsid w:val="002C372A"/>
    <w:rsid w:val="002D2965"/>
    <w:rsid w:val="002D3D02"/>
    <w:rsid w:val="002D4CB5"/>
    <w:rsid w:val="002D684B"/>
    <w:rsid w:val="002E3857"/>
    <w:rsid w:val="002E3B26"/>
    <w:rsid w:val="002E4AB8"/>
    <w:rsid w:val="00300733"/>
    <w:rsid w:val="00310070"/>
    <w:rsid w:val="003110EC"/>
    <w:rsid w:val="0031303F"/>
    <w:rsid w:val="00315CFF"/>
    <w:rsid w:val="0032385C"/>
    <w:rsid w:val="00327C92"/>
    <w:rsid w:val="00333292"/>
    <w:rsid w:val="003344E7"/>
    <w:rsid w:val="003347FC"/>
    <w:rsid w:val="0033580B"/>
    <w:rsid w:val="003365E7"/>
    <w:rsid w:val="003378D5"/>
    <w:rsid w:val="003405C8"/>
    <w:rsid w:val="003445FB"/>
    <w:rsid w:val="003473D7"/>
    <w:rsid w:val="00351AC8"/>
    <w:rsid w:val="00353075"/>
    <w:rsid w:val="00360BB3"/>
    <w:rsid w:val="00360EE8"/>
    <w:rsid w:val="00362A66"/>
    <w:rsid w:val="00363ACD"/>
    <w:rsid w:val="00363E02"/>
    <w:rsid w:val="00365AFF"/>
    <w:rsid w:val="00365CC2"/>
    <w:rsid w:val="00373A96"/>
    <w:rsid w:val="00381860"/>
    <w:rsid w:val="00382059"/>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20110"/>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1D5E"/>
    <w:rsid w:val="004E7C2E"/>
    <w:rsid w:val="004F0396"/>
    <w:rsid w:val="004F03CE"/>
    <w:rsid w:val="00501382"/>
    <w:rsid w:val="00510798"/>
    <w:rsid w:val="00524168"/>
    <w:rsid w:val="005244D2"/>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6C3"/>
    <w:rsid w:val="00590CA2"/>
    <w:rsid w:val="00591629"/>
    <w:rsid w:val="005940F8"/>
    <w:rsid w:val="00597B15"/>
    <w:rsid w:val="005A044C"/>
    <w:rsid w:val="005A3C56"/>
    <w:rsid w:val="005A5487"/>
    <w:rsid w:val="005B06FD"/>
    <w:rsid w:val="005B5C95"/>
    <w:rsid w:val="005B7713"/>
    <w:rsid w:val="005D0200"/>
    <w:rsid w:val="005D0D6E"/>
    <w:rsid w:val="005D44EF"/>
    <w:rsid w:val="005D4814"/>
    <w:rsid w:val="005D5112"/>
    <w:rsid w:val="005E0EC2"/>
    <w:rsid w:val="005E39CC"/>
    <w:rsid w:val="005F3914"/>
    <w:rsid w:val="005F3B5A"/>
    <w:rsid w:val="005F686F"/>
    <w:rsid w:val="005F6AB4"/>
    <w:rsid w:val="006006F5"/>
    <w:rsid w:val="00601585"/>
    <w:rsid w:val="006028A0"/>
    <w:rsid w:val="00610474"/>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4137"/>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D4DBC"/>
    <w:rsid w:val="007E05C9"/>
    <w:rsid w:val="007E27D6"/>
    <w:rsid w:val="007E3921"/>
    <w:rsid w:val="00801028"/>
    <w:rsid w:val="00803793"/>
    <w:rsid w:val="00807493"/>
    <w:rsid w:val="008149FD"/>
    <w:rsid w:val="00817A01"/>
    <w:rsid w:val="00824649"/>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87E9D"/>
    <w:rsid w:val="008922A8"/>
    <w:rsid w:val="00895BD5"/>
    <w:rsid w:val="0089773E"/>
    <w:rsid w:val="008A1587"/>
    <w:rsid w:val="008A16C4"/>
    <w:rsid w:val="008A6FED"/>
    <w:rsid w:val="008B39C5"/>
    <w:rsid w:val="008B51AA"/>
    <w:rsid w:val="008B67A6"/>
    <w:rsid w:val="008C0158"/>
    <w:rsid w:val="008C45EA"/>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368FA"/>
    <w:rsid w:val="0094257D"/>
    <w:rsid w:val="00942D9A"/>
    <w:rsid w:val="009435AB"/>
    <w:rsid w:val="009445D0"/>
    <w:rsid w:val="009456E9"/>
    <w:rsid w:val="009542A5"/>
    <w:rsid w:val="0095467C"/>
    <w:rsid w:val="0095482D"/>
    <w:rsid w:val="00954A61"/>
    <w:rsid w:val="00955C6F"/>
    <w:rsid w:val="00966C7B"/>
    <w:rsid w:val="009701DC"/>
    <w:rsid w:val="009715D8"/>
    <w:rsid w:val="00973D62"/>
    <w:rsid w:val="00977C5D"/>
    <w:rsid w:val="00985C4B"/>
    <w:rsid w:val="00986236"/>
    <w:rsid w:val="00993E5E"/>
    <w:rsid w:val="00995BF9"/>
    <w:rsid w:val="009A0CAF"/>
    <w:rsid w:val="009A1474"/>
    <w:rsid w:val="009A2207"/>
    <w:rsid w:val="009A4D84"/>
    <w:rsid w:val="009A657F"/>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9F60BA"/>
    <w:rsid w:val="00A1499B"/>
    <w:rsid w:val="00A1537A"/>
    <w:rsid w:val="00A27403"/>
    <w:rsid w:val="00A314C2"/>
    <w:rsid w:val="00A34977"/>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97250"/>
    <w:rsid w:val="00AA1D7D"/>
    <w:rsid w:val="00AA3066"/>
    <w:rsid w:val="00AB139D"/>
    <w:rsid w:val="00AB21CF"/>
    <w:rsid w:val="00AB3EFB"/>
    <w:rsid w:val="00AB4A98"/>
    <w:rsid w:val="00AB56BB"/>
    <w:rsid w:val="00AC0574"/>
    <w:rsid w:val="00AC0B05"/>
    <w:rsid w:val="00AC3CEB"/>
    <w:rsid w:val="00AC6022"/>
    <w:rsid w:val="00AD079A"/>
    <w:rsid w:val="00AD1890"/>
    <w:rsid w:val="00AD196F"/>
    <w:rsid w:val="00AE0687"/>
    <w:rsid w:val="00AE0816"/>
    <w:rsid w:val="00AE2149"/>
    <w:rsid w:val="00AE33AE"/>
    <w:rsid w:val="00AE3785"/>
    <w:rsid w:val="00AE3F91"/>
    <w:rsid w:val="00AE452F"/>
    <w:rsid w:val="00AE76E6"/>
    <w:rsid w:val="00AF2B21"/>
    <w:rsid w:val="00AF6F73"/>
    <w:rsid w:val="00B00983"/>
    <w:rsid w:val="00B0267C"/>
    <w:rsid w:val="00B039E3"/>
    <w:rsid w:val="00B22838"/>
    <w:rsid w:val="00B24255"/>
    <w:rsid w:val="00B32905"/>
    <w:rsid w:val="00B33E95"/>
    <w:rsid w:val="00B3720B"/>
    <w:rsid w:val="00B37358"/>
    <w:rsid w:val="00B46EFD"/>
    <w:rsid w:val="00B4730C"/>
    <w:rsid w:val="00B53729"/>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E0895"/>
    <w:rsid w:val="00BE48E9"/>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7701B"/>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3EB"/>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3A52"/>
    <w:rsid w:val="00DD43F0"/>
    <w:rsid w:val="00DD44DE"/>
    <w:rsid w:val="00DE09AB"/>
    <w:rsid w:val="00DE4A3F"/>
    <w:rsid w:val="00DE6121"/>
    <w:rsid w:val="00DF4367"/>
    <w:rsid w:val="00E04DF4"/>
    <w:rsid w:val="00E0574A"/>
    <w:rsid w:val="00E07412"/>
    <w:rsid w:val="00E10E23"/>
    <w:rsid w:val="00E1117D"/>
    <w:rsid w:val="00E11F17"/>
    <w:rsid w:val="00E1243D"/>
    <w:rsid w:val="00E12742"/>
    <w:rsid w:val="00E146D4"/>
    <w:rsid w:val="00E20976"/>
    <w:rsid w:val="00E22B44"/>
    <w:rsid w:val="00E30ACD"/>
    <w:rsid w:val="00E32735"/>
    <w:rsid w:val="00E6053E"/>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42B"/>
    <w:rsid w:val="00F105B8"/>
    <w:rsid w:val="00F11930"/>
    <w:rsid w:val="00F1713B"/>
    <w:rsid w:val="00F2165E"/>
    <w:rsid w:val="00F24C2D"/>
    <w:rsid w:val="00F27356"/>
    <w:rsid w:val="00F30B1E"/>
    <w:rsid w:val="00F32A81"/>
    <w:rsid w:val="00F3511C"/>
    <w:rsid w:val="00F3639E"/>
    <w:rsid w:val="00F40728"/>
    <w:rsid w:val="00F41324"/>
    <w:rsid w:val="00F436D9"/>
    <w:rsid w:val="00F46998"/>
    <w:rsid w:val="00F47100"/>
    <w:rsid w:val="00F5382D"/>
    <w:rsid w:val="00F53D9C"/>
    <w:rsid w:val="00F5462B"/>
    <w:rsid w:val="00F634AD"/>
    <w:rsid w:val="00F63677"/>
    <w:rsid w:val="00F75B81"/>
    <w:rsid w:val="00F75D8A"/>
    <w:rsid w:val="00F77E3F"/>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E693B"/>
    <w:rsid w:val="00FF0DA7"/>
    <w:rsid w:val="00FF1022"/>
    <w:rsid w:val="00FF44E0"/>
    <w:rsid w:val="00FF6C72"/>
    <w:rsid w:val="00FF783A"/>
    <w:rsid w:val="01EF4560"/>
    <w:rsid w:val="02A067FD"/>
    <w:rsid w:val="03AF0B69"/>
    <w:rsid w:val="04096F7B"/>
    <w:rsid w:val="04620439"/>
    <w:rsid w:val="05EC3108"/>
    <w:rsid w:val="06257970"/>
    <w:rsid w:val="075653D9"/>
    <w:rsid w:val="094A1BE5"/>
    <w:rsid w:val="097D52B6"/>
    <w:rsid w:val="09B554AF"/>
    <w:rsid w:val="0BEF5F39"/>
    <w:rsid w:val="0C311E05"/>
    <w:rsid w:val="0DAB22C6"/>
    <w:rsid w:val="0F4B55A7"/>
    <w:rsid w:val="11554019"/>
    <w:rsid w:val="129462CC"/>
    <w:rsid w:val="13397BCE"/>
    <w:rsid w:val="14717EAE"/>
    <w:rsid w:val="17356927"/>
    <w:rsid w:val="18B232E6"/>
    <w:rsid w:val="18F71640"/>
    <w:rsid w:val="19A4731C"/>
    <w:rsid w:val="1A357A52"/>
    <w:rsid w:val="1A6A3C67"/>
    <w:rsid w:val="1A6B5E42"/>
    <w:rsid w:val="1AF96A3E"/>
    <w:rsid w:val="1C1F6775"/>
    <w:rsid w:val="1C8546DE"/>
    <w:rsid w:val="1C9D605B"/>
    <w:rsid w:val="1CDB6B83"/>
    <w:rsid w:val="1D1A5BC6"/>
    <w:rsid w:val="1D755F36"/>
    <w:rsid w:val="1D7719BD"/>
    <w:rsid w:val="1DAA2521"/>
    <w:rsid w:val="20E74328"/>
    <w:rsid w:val="22D642CB"/>
    <w:rsid w:val="23B75C54"/>
    <w:rsid w:val="245F009A"/>
    <w:rsid w:val="25164BFC"/>
    <w:rsid w:val="26522036"/>
    <w:rsid w:val="2783171D"/>
    <w:rsid w:val="29B54335"/>
    <w:rsid w:val="29E5020D"/>
    <w:rsid w:val="2BDC3CE3"/>
    <w:rsid w:val="2C247DAC"/>
    <w:rsid w:val="2CC14B77"/>
    <w:rsid w:val="2CF27CFD"/>
    <w:rsid w:val="2CF75313"/>
    <w:rsid w:val="2DAC3BFD"/>
    <w:rsid w:val="2F733923"/>
    <w:rsid w:val="2F760751"/>
    <w:rsid w:val="30BC1B0B"/>
    <w:rsid w:val="31D90BD6"/>
    <w:rsid w:val="31EB11BF"/>
    <w:rsid w:val="32D57EA5"/>
    <w:rsid w:val="33075DFB"/>
    <w:rsid w:val="33263D6A"/>
    <w:rsid w:val="354A3D37"/>
    <w:rsid w:val="355922B7"/>
    <w:rsid w:val="35A43BDE"/>
    <w:rsid w:val="35CB23D2"/>
    <w:rsid w:val="35CF4AD8"/>
    <w:rsid w:val="36251143"/>
    <w:rsid w:val="379C71E3"/>
    <w:rsid w:val="380A75D6"/>
    <w:rsid w:val="39B74BDE"/>
    <w:rsid w:val="3A0D2667"/>
    <w:rsid w:val="3B3B6D13"/>
    <w:rsid w:val="3F53046B"/>
    <w:rsid w:val="3F6705F7"/>
    <w:rsid w:val="3F794162"/>
    <w:rsid w:val="40780A59"/>
    <w:rsid w:val="42784CF1"/>
    <w:rsid w:val="42E742D8"/>
    <w:rsid w:val="440A1978"/>
    <w:rsid w:val="451A7689"/>
    <w:rsid w:val="45474FCF"/>
    <w:rsid w:val="45A43A01"/>
    <w:rsid w:val="46835828"/>
    <w:rsid w:val="47667450"/>
    <w:rsid w:val="476E3E9A"/>
    <w:rsid w:val="4BDA4326"/>
    <w:rsid w:val="4DB311C4"/>
    <w:rsid w:val="4E920EE8"/>
    <w:rsid w:val="4EFA0F67"/>
    <w:rsid w:val="503B1382"/>
    <w:rsid w:val="52F82D96"/>
    <w:rsid w:val="547B4EA9"/>
    <w:rsid w:val="550F7B55"/>
    <w:rsid w:val="55122FD8"/>
    <w:rsid w:val="55843C0C"/>
    <w:rsid w:val="55926D29"/>
    <w:rsid w:val="57572CCF"/>
    <w:rsid w:val="58E53EC8"/>
    <w:rsid w:val="599B1268"/>
    <w:rsid w:val="59E766FB"/>
    <w:rsid w:val="5AF2460E"/>
    <w:rsid w:val="5C3F2EED"/>
    <w:rsid w:val="5C8968EE"/>
    <w:rsid w:val="5CF62206"/>
    <w:rsid w:val="5F1C412F"/>
    <w:rsid w:val="5F596331"/>
    <w:rsid w:val="60B151FE"/>
    <w:rsid w:val="63716633"/>
    <w:rsid w:val="64586600"/>
    <w:rsid w:val="654B14AA"/>
    <w:rsid w:val="65B67155"/>
    <w:rsid w:val="66B27F22"/>
    <w:rsid w:val="66C71D2B"/>
    <w:rsid w:val="6709554C"/>
    <w:rsid w:val="6732696D"/>
    <w:rsid w:val="67B8418F"/>
    <w:rsid w:val="682736B4"/>
    <w:rsid w:val="6AF723A7"/>
    <w:rsid w:val="6B486391"/>
    <w:rsid w:val="6BE566A3"/>
    <w:rsid w:val="6CB930F1"/>
    <w:rsid w:val="6CC45353"/>
    <w:rsid w:val="6CC632BF"/>
    <w:rsid w:val="6CDE4879"/>
    <w:rsid w:val="6D2C630D"/>
    <w:rsid w:val="6E1A0886"/>
    <w:rsid w:val="7016507D"/>
    <w:rsid w:val="71B0505E"/>
    <w:rsid w:val="73D7D205"/>
    <w:rsid w:val="73E35E45"/>
    <w:rsid w:val="74561EEC"/>
    <w:rsid w:val="74F80B83"/>
    <w:rsid w:val="75387844"/>
    <w:rsid w:val="76D50550"/>
    <w:rsid w:val="772F044F"/>
    <w:rsid w:val="77324D59"/>
    <w:rsid w:val="783A06B1"/>
    <w:rsid w:val="78435456"/>
    <w:rsid w:val="7A9D7D6A"/>
    <w:rsid w:val="7AAF0711"/>
    <w:rsid w:val="7ACD0A2E"/>
    <w:rsid w:val="7DB87774"/>
    <w:rsid w:val="7E9F0B34"/>
    <w:rsid w:val="7FA77AA0"/>
    <w:rsid w:val="7FCFD1C3"/>
    <w:rsid w:val="B1FF6424"/>
    <w:rsid w:val="FFB38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8"/>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50"/>
    <w:autoRedefine/>
    <w:semiHidden/>
    <w:unhideWhenUsed/>
    <w:qFormat/>
    <w:uiPriority w:val="0"/>
    <w:pPr>
      <w:keepNext/>
      <w:keepLines/>
      <w:spacing w:before="260" w:after="260" w:line="413" w:lineRule="auto"/>
      <w:outlineLvl w:val="2"/>
    </w:pPr>
    <w:rPr>
      <w:b/>
      <w:sz w:val="32"/>
    </w:rPr>
  </w:style>
  <w:style w:type="paragraph" w:styleId="5">
    <w:name w:val="heading 4"/>
    <w:basedOn w:val="1"/>
    <w:next w:val="1"/>
    <w:link w:val="55"/>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7"/>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qFormat/>
    <w:uiPriority w:val="0"/>
  </w:style>
  <w:style w:type="paragraph" w:styleId="11">
    <w:name w:val="toc 3"/>
    <w:basedOn w:val="1"/>
    <w:next w:val="1"/>
    <w:autoRedefine/>
    <w:qFormat/>
    <w:uiPriority w:val="0"/>
    <w:pPr>
      <w:ind w:left="840" w:leftChars="400"/>
    </w:pPr>
  </w:style>
  <w:style w:type="paragraph" w:styleId="12">
    <w:name w:val="Plain Text"/>
    <w:basedOn w:val="1"/>
    <w:link w:val="36"/>
    <w:autoRedefine/>
    <w:qFormat/>
    <w:uiPriority w:val="0"/>
    <w:rPr>
      <w:rFonts w:ascii="宋体" w:hAnsi="Courier New"/>
    </w:rPr>
  </w:style>
  <w:style w:type="paragraph" w:styleId="13">
    <w:name w:val="Date"/>
    <w:basedOn w:val="1"/>
    <w:next w:val="1"/>
    <w:link w:val="43"/>
    <w:autoRedefine/>
    <w:qFormat/>
    <w:uiPriority w:val="0"/>
    <w:pPr>
      <w:ind w:left="100" w:leftChars="2500"/>
    </w:pPr>
  </w:style>
  <w:style w:type="paragraph" w:styleId="14">
    <w:name w:val="Balloon Text"/>
    <w:basedOn w:val="1"/>
    <w:link w:val="30"/>
    <w:autoRedefine/>
    <w:qFormat/>
    <w:uiPriority w:val="0"/>
    <w:rPr>
      <w:sz w:val="18"/>
    </w:rPr>
  </w:style>
  <w:style w:type="paragraph" w:styleId="15">
    <w:name w:val="footer"/>
    <w:basedOn w:val="1"/>
    <w:link w:val="35"/>
    <w:autoRedefine/>
    <w:qFormat/>
    <w:uiPriority w:val="0"/>
    <w:pPr>
      <w:tabs>
        <w:tab w:val="center" w:pos="4153"/>
        <w:tab w:val="right" w:pos="8306"/>
      </w:tabs>
      <w:snapToGrid w:val="0"/>
      <w:jc w:val="left"/>
    </w:pPr>
    <w:rPr>
      <w:sz w:val="18"/>
    </w:rPr>
  </w:style>
  <w:style w:type="paragraph" w:styleId="16">
    <w:name w:val="header"/>
    <w:basedOn w:val="1"/>
    <w:link w:val="3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index 1"/>
    <w:basedOn w:val="1"/>
    <w:next w:val="1"/>
    <w:autoRedefine/>
    <w:qFormat/>
    <w:uiPriority w:val="0"/>
  </w:style>
  <w:style w:type="paragraph" w:styleId="20">
    <w:name w:val="annotation subject"/>
    <w:basedOn w:val="7"/>
    <w:next w:val="7"/>
    <w:link w:val="63"/>
    <w:semiHidden/>
    <w:unhideWhenUsed/>
    <w:qFormat/>
    <w:uiPriority w:val="99"/>
    <w:rPr>
      <w:b/>
      <w:bCs/>
    </w:rPr>
  </w:style>
  <w:style w:type="paragraph" w:styleId="21">
    <w:name w:val="Body Text First Indent"/>
    <w:basedOn w:val="8"/>
    <w:autoRedefine/>
    <w:qFormat/>
    <w:uiPriority w:val="0"/>
    <w:pPr>
      <w:ind w:firstLine="420" w:firstLineChars="100"/>
    </w:pPr>
  </w:style>
  <w:style w:type="paragraph" w:styleId="22">
    <w:name w:val="Body Text First Indent 2"/>
    <w:basedOn w:val="9"/>
    <w:autoRedefine/>
    <w:unhideWhenUsed/>
    <w:qFormat/>
    <w:uiPriority w:val="99"/>
    <w:pPr>
      <w:ind w:firstLine="420" w:firstLineChars="2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styleId="29">
    <w:name w:val="annotation reference"/>
    <w:basedOn w:val="25"/>
    <w:autoRedefine/>
    <w:semiHidden/>
    <w:unhideWhenUsed/>
    <w:qFormat/>
    <w:uiPriority w:val="99"/>
    <w:rPr>
      <w:sz w:val="21"/>
      <w:szCs w:val="21"/>
    </w:rPr>
  </w:style>
  <w:style w:type="character" w:customStyle="1" w:styleId="30">
    <w:name w:val="批注框文本 字符"/>
    <w:link w:val="14"/>
    <w:autoRedefine/>
    <w:semiHidden/>
    <w:qFormat/>
    <w:uiPriority w:val="99"/>
    <w:rPr>
      <w:sz w:val="18"/>
    </w:rPr>
  </w:style>
  <w:style w:type="paragraph" w:customStyle="1" w:styleId="31">
    <w:name w:val="正文（缩进）"/>
    <w:basedOn w:val="1"/>
    <w:autoRedefine/>
    <w:qFormat/>
    <w:uiPriority w:val="0"/>
    <w:pPr>
      <w:widowControl/>
      <w:spacing w:before="156" w:after="156"/>
      <w:ind w:firstLine="480" w:firstLineChars="200"/>
      <w:jc w:val="left"/>
    </w:pPr>
    <w:rPr>
      <w:kern w:val="0"/>
      <w:sz w:val="24"/>
    </w:rPr>
  </w:style>
  <w:style w:type="paragraph" w:customStyle="1" w:styleId="3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3">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字符"/>
    <w:link w:val="16"/>
    <w:autoRedefine/>
    <w:qFormat/>
    <w:uiPriority w:val="0"/>
    <w:rPr>
      <w:sz w:val="18"/>
    </w:rPr>
  </w:style>
  <w:style w:type="character" w:customStyle="1" w:styleId="35">
    <w:name w:val="页脚 字符"/>
    <w:link w:val="15"/>
    <w:autoRedefine/>
    <w:qFormat/>
    <w:uiPriority w:val="99"/>
    <w:rPr>
      <w:sz w:val="18"/>
    </w:rPr>
  </w:style>
  <w:style w:type="character" w:customStyle="1" w:styleId="36">
    <w:name w:val="纯文本 字符"/>
    <w:link w:val="12"/>
    <w:autoRedefine/>
    <w:qFormat/>
    <w:uiPriority w:val="0"/>
    <w:rPr>
      <w:rFonts w:ascii="宋体" w:hAnsi="Courier New"/>
    </w:rPr>
  </w:style>
  <w:style w:type="character" w:customStyle="1" w:styleId="37">
    <w:name w:val="纯文本 字符1"/>
    <w:basedOn w:val="25"/>
    <w:autoRedefine/>
    <w:semiHidden/>
    <w:qFormat/>
    <w:uiPriority w:val="99"/>
    <w:rPr>
      <w:rFonts w:hAnsi="Courier New" w:cs="Courier New" w:asciiTheme="minorEastAsia"/>
      <w:szCs w:val="20"/>
    </w:rPr>
  </w:style>
  <w:style w:type="character" w:customStyle="1" w:styleId="38">
    <w:name w:val="未处理的提及1"/>
    <w:basedOn w:val="25"/>
    <w:autoRedefine/>
    <w:semiHidden/>
    <w:unhideWhenUsed/>
    <w:qFormat/>
    <w:uiPriority w:val="99"/>
    <w:rPr>
      <w:color w:val="605E5C"/>
      <w:shd w:val="clear" w:color="auto" w:fill="E1DFDD"/>
    </w:rPr>
  </w:style>
  <w:style w:type="paragraph" w:styleId="39">
    <w:name w:val="List Paragraph"/>
    <w:basedOn w:val="1"/>
    <w:autoRedefine/>
    <w:qFormat/>
    <w:uiPriority w:val="34"/>
    <w:pPr>
      <w:ind w:firstLine="420" w:firstLineChars="200"/>
    </w:pPr>
  </w:style>
  <w:style w:type="paragraph" w:customStyle="1" w:styleId="40">
    <w:name w:val="Char Char Char Char Char Char Char1 Char"/>
    <w:basedOn w:val="1"/>
    <w:autoRedefine/>
    <w:qFormat/>
    <w:uiPriority w:val="0"/>
    <w:rPr>
      <w:rFonts w:ascii="Arial" w:hAnsi="Arial" w:eastAsia="宋体" w:cs="Arial"/>
      <w:sz w:val="24"/>
    </w:rPr>
  </w:style>
  <w:style w:type="table" w:customStyle="1" w:styleId="41">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5"/>
    <w:autoRedefine/>
    <w:semiHidden/>
    <w:qFormat/>
    <w:uiPriority w:val="99"/>
    <w:rPr>
      <w:rFonts w:ascii="@仿宋_GB2312" w:hAnsi="@仿宋_GB2312" w:eastAsia="@仿宋_GB2312" w:cs="@仿宋_GB2312"/>
      <w:szCs w:val="20"/>
    </w:rPr>
  </w:style>
  <w:style w:type="character" w:customStyle="1" w:styleId="43">
    <w:name w:val="日期 字符1"/>
    <w:link w:val="13"/>
    <w:autoRedefine/>
    <w:qFormat/>
    <w:uiPriority w:val="0"/>
  </w:style>
  <w:style w:type="character" w:customStyle="1" w:styleId="44">
    <w:name w:val="纯文本 Char1"/>
    <w:link w:val="45"/>
    <w:autoRedefine/>
    <w:qFormat/>
    <w:locked/>
    <w:uiPriority w:val="0"/>
    <w:rPr>
      <w:rFonts w:ascii="Arial" w:hAnsi="Arial" w:eastAsia="Arial"/>
      <w:kern w:val="2"/>
      <w:sz w:val="21"/>
      <w:lang w:val="en-US" w:eastAsia="zh-CN" w:bidi="ar-SA"/>
    </w:rPr>
  </w:style>
  <w:style w:type="paragraph" w:customStyle="1" w:styleId="45">
    <w:name w:val="纯文本1"/>
    <w:basedOn w:val="1"/>
    <w:link w:val="44"/>
    <w:autoRedefine/>
    <w:qFormat/>
    <w:uiPriority w:val="0"/>
    <w:rPr>
      <w:rFonts w:ascii="Arial" w:hAnsi="Arial" w:eastAsia="Arial"/>
      <w:szCs w:val="22"/>
    </w:rPr>
  </w:style>
  <w:style w:type="character" w:customStyle="1" w:styleId="46">
    <w:name w:val="批注文字 Char"/>
    <w:basedOn w:val="25"/>
    <w:autoRedefine/>
    <w:semiHidden/>
    <w:qFormat/>
    <w:uiPriority w:val="99"/>
    <w:rPr>
      <w:rFonts w:ascii="@仿宋_GB2312" w:hAnsi="@仿宋_GB2312" w:eastAsia="@仿宋_GB2312" w:cs="@仿宋_GB2312"/>
      <w:szCs w:val="20"/>
    </w:rPr>
  </w:style>
  <w:style w:type="character" w:customStyle="1" w:styleId="47">
    <w:name w:val="批注文字 字符"/>
    <w:link w:val="7"/>
    <w:autoRedefine/>
    <w:qFormat/>
    <w:uiPriority w:val="0"/>
  </w:style>
  <w:style w:type="character" w:customStyle="1" w:styleId="48">
    <w:name w:val="标题 1 字符"/>
    <w:link w:val="2"/>
    <w:autoRedefine/>
    <w:qFormat/>
    <w:uiPriority w:val="9"/>
    <w:rPr>
      <w:b/>
      <w:kern w:val="44"/>
      <w:sz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字符"/>
    <w:link w:val="4"/>
    <w:autoRedefine/>
    <w:semiHidden/>
    <w:qFormat/>
    <w:uiPriority w:val="9"/>
    <w:rPr>
      <w:b/>
      <w:sz w:val="32"/>
    </w:rPr>
  </w:style>
  <w:style w:type="character" w:customStyle="1" w:styleId="51">
    <w:name w:val="fontstyle01"/>
    <w:basedOn w:val="25"/>
    <w:autoRedefine/>
    <w:qFormat/>
    <w:uiPriority w:val="0"/>
    <w:rPr>
      <w:rFonts w:hint="eastAsia" w:ascii="宋体" w:hAnsi="宋体" w:eastAsia="宋体"/>
      <w:color w:val="000000"/>
      <w:sz w:val="22"/>
      <w:szCs w:val="22"/>
    </w:rPr>
  </w:style>
  <w:style w:type="character" w:customStyle="1" w:styleId="52">
    <w:name w:val="fontstyle21"/>
    <w:basedOn w:val="25"/>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5">
    <w:name w:val="标题 4 字符1"/>
    <w:link w:val="5"/>
    <w:autoRedefine/>
    <w:qFormat/>
    <w:uiPriority w:val="0"/>
    <w:rPr>
      <w:rFonts w:ascii="Arial" w:hAnsi="Arial" w:eastAsia="黑体"/>
      <w:b/>
      <w:sz w:val="28"/>
    </w:rPr>
  </w:style>
  <w:style w:type="paragraph" w:customStyle="1" w:styleId="56">
    <w:name w:val="普通 (Web)"/>
    <w:basedOn w:val="1"/>
    <w:autoRedefine/>
    <w:qFormat/>
    <w:uiPriority w:val="0"/>
    <w:pPr>
      <w:widowControl/>
      <w:spacing w:before="100" w:beforeAutospacing="1" w:after="100" w:afterAutospacing="1"/>
      <w:jc w:val="left"/>
    </w:pPr>
    <w:rPr>
      <w:rFonts w:cs="Times New Roman"/>
      <w:sz w:val="24"/>
    </w:rPr>
  </w:style>
  <w:style w:type="paragraph" w:customStyle="1" w:styleId="57">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8">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59">
    <w:name w:val="列表段落1"/>
    <w:basedOn w:val="1"/>
    <w:autoRedefine/>
    <w:qFormat/>
    <w:uiPriority w:val="34"/>
    <w:pPr>
      <w:ind w:firstLine="420" w:firstLineChars="200"/>
    </w:pPr>
  </w:style>
  <w:style w:type="paragraph" w:customStyle="1" w:styleId="60">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1">
    <w:name w:val="未处理的提及2"/>
    <w:basedOn w:val="25"/>
    <w:autoRedefine/>
    <w:semiHidden/>
    <w:unhideWhenUsed/>
    <w:qFormat/>
    <w:uiPriority w:val="99"/>
    <w:rPr>
      <w:color w:val="605E5C"/>
      <w:shd w:val="clear" w:color="auto" w:fill="E1DFDD"/>
    </w:rPr>
  </w:style>
  <w:style w:type="paragraph" w:customStyle="1" w:styleId="62">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3">
    <w:name w:val="批注主题 字符"/>
    <w:basedOn w:val="47"/>
    <w:link w:val="20"/>
    <w:semiHidden/>
    <w:qFormat/>
    <w:uiPriority w:val="99"/>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30</Pages>
  <Words>2270</Words>
  <Characters>2438</Characters>
  <Lines>117</Lines>
  <Paragraphs>33</Paragraphs>
  <TotalTime>3</TotalTime>
  <ScaleCrop>false</ScaleCrop>
  <LinksUpToDate>false</LinksUpToDate>
  <CharactersWithSpaces>2627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2025-12-01T09:46:00Z</dcterms:created>
  <dc:creator>Anakin</dc:creator>
  <cp:lastModifiedBy>Solo</cp:lastModifiedBy>
  <cp:lastPrinted>2022-06-23T09:57:00Z</cp:lastPrinted>
  <dcterms:modified xsi:type="dcterms:W3CDTF">2025-12-02T00:40:18Z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9926FE62935F49B4922322FDBEBD42C8_13</vt:lpwstr>
  </property>
  <property fmtid="{D5CDD505-2E9C-101B-9397-08002B2CF9AE}" pid="4" name="KSOTemplateDocerSaveRecord">
    <vt:lpwstr>eyJoZGlkIjoiN2FjNGUyYzZlZDk4NzI1MmJiZDNlYzY4OTAwOTZiN2IiLCJ1c2VySWQiOiIyNDY5NDQyNSJ9</vt:lpwstr>
  </property>
</Properties>
</file>