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A05D6">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7781F41D">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475795B4">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14:paraId="5E6166E1">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14:paraId="3C0AFCEB">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0CB130B4">
      <w:pPr>
        <w:rPr>
          <w:rFonts w:ascii="Times New Roman" w:hAnsi="Times New Roman" w:cs="Times New Roman" w:eastAsiaTheme="minorEastAsia"/>
          <w:bCs/>
          <w:sz w:val="44"/>
          <w:szCs w:val="44"/>
        </w:rPr>
      </w:pPr>
    </w:p>
    <w:p w14:paraId="3645B32D">
      <w:pPr>
        <w:rPr>
          <w:rFonts w:ascii="Times New Roman" w:hAnsi="Times New Roman" w:cs="Times New Roman"/>
        </w:rPr>
      </w:pPr>
    </w:p>
    <w:p w14:paraId="6DBD8187">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1565910" cy="1511935"/>
                    </a:xfrm>
                    <a:prstGeom prst="rect">
                      <a:avLst/>
                    </a:prstGeom>
                    <a:noFill/>
                    <a:ln>
                      <a:noFill/>
                    </a:ln>
                  </pic:spPr>
                </pic:pic>
              </a:graphicData>
            </a:graphic>
          </wp:inline>
        </w:drawing>
      </w:r>
    </w:p>
    <w:p w14:paraId="7CADA8E0">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7BA4A46E">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043877CC">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2B8C89C2">
      <w:pPr>
        <w:tabs>
          <w:tab w:val="left" w:pos="2410"/>
        </w:tabs>
        <w:autoSpaceDE w:val="0"/>
        <w:autoSpaceDN w:val="0"/>
        <w:adjustRightInd w:val="0"/>
        <w:snapToGrid w:val="0"/>
        <w:spacing w:line="360" w:lineRule="auto"/>
        <w:rPr>
          <w:rFonts w:hint="eastAsia" w:ascii="宋体" w:hAnsi="DotumChe" w:cs="宋体"/>
          <w:b/>
          <w:color w:val="000000"/>
          <w:spacing w:val="20"/>
          <w:kern w:val="0"/>
          <w:sz w:val="32"/>
          <w:szCs w:val="32"/>
          <w:u w:val="single"/>
          <w:lang w:val="en-US" w:eastAsia="zh-CN"/>
        </w:rPr>
      </w:pPr>
      <w:r>
        <w:rPr>
          <w:rFonts w:ascii="Times New Roman" w:hAnsi="Times New Roman" w:cs="Times New Roman" w:eastAsiaTheme="minorEastAsia"/>
          <w:b/>
          <w:spacing w:val="20"/>
          <w:kern w:val="0"/>
          <w:sz w:val="32"/>
          <w:szCs w:val="32"/>
        </w:rPr>
        <w:t>项目名称：</w:t>
      </w:r>
      <w:bookmarkStart w:id="28" w:name="_GoBack"/>
      <w:bookmarkEnd w:id="28"/>
      <w:r>
        <w:rPr>
          <w:rFonts w:hint="eastAsia" w:ascii="Times New Roman" w:hAnsi="Times New Roman" w:cs="Times New Roman"/>
          <w:b/>
          <w:spacing w:val="20"/>
          <w:kern w:val="0"/>
          <w:sz w:val="32"/>
          <w:szCs w:val="32"/>
          <w:u w:val="single"/>
          <w:lang w:val="en-US" w:eastAsia="zh-CN"/>
        </w:rPr>
        <w:t>安徽环巢湖生态发展有限公司报废电梯资产评估项目（二次）</w:t>
      </w:r>
    </w:p>
    <w:p w14:paraId="2E8E546E">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b/>
          <w:spacing w:val="20"/>
          <w:kern w:val="0"/>
          <w:sz w:val="32"/>
          <w:szCs w:val="32"/>
          <w:u w:val="single"/>
          <w:lang w:val="en-US" w:eastAsia="zh-CN"/>
        </w:rPr>
        <w:t>2025HHST006</w:t>
      </w:r>
      <w:r>
        <w:rPr>
          <w:rFonts w:hint="eastAsia" w:ascii="Times New Roman" w:hAnsi="Times New Roman" w:cs="Times New Roman"/>
          <w:b/>
          <w:spacing w:val="20"/>
          <w:kern w:val="0"/>
          <w:sz w:val="32"/>
          <w:szCs w:val="32"/>
          <w:u w:val="none"/>
          <w:lang w:val="en-US" w:eastAsia="zh-CN"/>
        </w:rPr>
        <w:t>号</w:t>
      </w:r>
    </w:p>
    <w:p w14:paraId="59138F8C">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招 标 人：</w:t>
      </w:r>
      <w:r>
        <w:rPr>
          <w:rFonts w:hint="eastAsia"/>
          <w:b/>
          <w:spacing w:val="20"/>
          <w:sz w:val="32"/>
          <w:szCs w:val="32"/>
          <w:u w:val="single"/>
          <w:lang w:val="en-US" w:eastAsia="zh-CN"/>
        </w:rPr>
        <w:t>安徽环巢湖生态发展有限公司</w:t>
      </w:r>
    </w:p>
    <w:p w14:paraId="41529B4E">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619801FE">
      <w:pPr>
        <w:pStyle w:val="2"/>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9</w:t>
      </w:r>
      <w:r>
        <w:rPr>
          <w:rFonts w:eastAsiaTheme="majorEastAsia"/>
          <w:b/>
          <w:sz w:val="36"/>
          <w:u w:val="single"/>
        </w:rPr>
        <w:t xml:space="preserve"> </w:t>
      </w:r>
      <w:r>
        <w:rPr>
          <w:rFonts w:eastAsiaTheme="majorEastAsia"/>
          <w:b/>
          <w:sz w:val="36"/>
        </w:rPr>
        <w:t>月</w:t>
      </w:r>
    </w:p>
    <w:p w14:paraId="0641C104">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493EC277">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7BFB4C38">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14:paraId="56BA61D9">
      <w:pPr>
        <w:pStyle w:val="19"/>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513ADAAE">
      <w:pPr>
        <w:pStyle w:val="19"/>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E825E76">
      <w:pPr>
        <w:pStyle w:val="19"/>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0B9682EF">
      <w:pPr>
        <w:pStyle w:val="19"/>
        <w:tabs>
          <w:tab w:val="right" w:leader="dot" w:pos="8279"/>
        </w:tabs>
        <w:rPr>
          <w:rFonts w:hint="eastAsia" w:ascii="Times New Roman" w:hAnsi="Times New Roman" w:cs="Times New Roman" w:eastAsiaTheme="minorEastAsia"/>
          <w:b/>
          <w:bCs/>
          <w:sz w:val="22"/>
          <w:szCs w:val="28"/>
          <w:lang w:eastAsia="zh-CN"/>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12</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707E0C0F">
      <w:pPr>
        <w:pStyle w:val="19"/>
        <w:tabs>
          <w:tab w:val="right" w:leader="dot" w:pos="8279"/>
        </w:tabs>
        <w:rPr>
          <w:rFonts w:hint="default" w:ascii="Times New Roman" w:hAnsi="Times New Roman" w:cs="Times New Roman" w:eastAsiaTheme="minorEastAsia"/>
          <w:b/>
          <w:bCs/>
          <w:sz w:val="22"/>
          <w:szCs w:val="28"/>
          <w:lang w:val="en-US" w:eastAsia="zh-CN"/>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end"/>
      </w:r>
      <w:r>
        <w:rPr>
          <w:rFonts w:hint="eastAsia" w:ascii="Times New Roman" w:hAnsi="Times New Roman" w:cs="Times New Roman"/>
          <w:b/>
          <w:bCs/>
          <w:sz w:val="22"/>
          <w:szCs w:val="28"/>
          <w:lang w:val="en-US" w:eastAsia="zh-CN"/>
        </w:rPr>
        <w:t>14</w:t>
      </w:r>
    </w:p>
    <w:p w14:paraId="369753B3">
      <w:pPr>
        <w:pStyle w:val="19"/>
        <w:tabs>
          <w:tab w:val="right" w:leader="dot" w:pos="8279"/>
        </w:tabs>
        <w:rPr>
          <w:rFonts w:hint="default" w:ascii="Times New Roman" w:hAnsi="Times New Roman" w:cs="Times New Roman" w:eastAsiaTheme="minorEastAsia"/>
          <w:b/>
          <w:bCs/>
          <w:sz w:val="22"/>
          <w:szCs w:val="28"/>
          <w:lang w:val="en-US" w:eastAsia="zh-CN"/>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end"/>
      </w:r>
      <w:r>
        <w:rPr>
          <w:rFonts w:hint="eastAsia" w:ascii="Times New Roman" w:hAnsi="Times New Roman" w:cs="Times New Roman"/>
          <w:b/>
          <w:bCs/>
          <w:sz w:val="22"/>
          <w:szCs w:val="28"/>
          <w:lang w:val="en-US" w:eastAsia="zh-CN"/>
        </w:rPr>
        <w:t>24</w:t>
      </w:r>
    </w:p>
    <w:p w14:paraId="15CA5E7A">
      <w:pPr>
        <w:pStyle w:val="19"/>
        <w:tabs>
          <w:tab w:val="right" w:leader="dot" w:pos="8279"/>
        </w:tabs>
        <w:rPr>
          <w:rFonts w:ascii="Times New Roman" w:hAnsi="Times New Roman" w:cs="Times New Roman"/>
        </w:rPr>
      </w:pPr>
    </w:p>
    <w:p w14:paraId="59737542">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14:paraId="51E57692">
      <w:pPr>
        <w:spacing w:line="360" w:lineRule="auto"/>
        <w:jc w:val="center"/>
        <w:outlineLvl w:val="1"/>
        <w:rPr>
          <w:rFonts w:ascii="Times New Roman" w:hAnsi="Times New Roman" w:cs="Times New Roman" w:eastAsiaTheme="minorEastAsia"/>
          <w:b/>
          <w:sz w:val="28"/>
        </w:rPr>
        <w:sectPr>
          <w:footerReference r:id="rId3" w:type="default"/>
          <w:pgSz w:w="11907" w:h="16840"/>
          <w:pgMar w:top="1440" w:right="1519" w:bottom="1440" w:left="1519" w:header="851" w:footer="851" w:gutter="0"/>
          <w:cols w:space="720" w:num="1"/>
          <w:docGrid w:linePitch="462" w:charSpace="0"/>
        </w:sectPr>
      </w:pPr>
    </w:p>
    <w:p w14:paraId="351FB163">
      <w:pPr>
        <w:spacing w:line="360" w:lineRule="auto"/>
        <w:jc w:val="center"/>
        <w:outlineLvl w:val="1"/>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14:paraId="1451DB66">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u w:val="single"/>
        </w:rPr>
        <w:t xml:space="preserve"> </w:t>
      </w:r>
      <w:r>
        <w:rPr>
          <w:rFonts w:hint="eastAsia" w:ascii="Times New Roman" w:hAnsi="Times New Roman" w:cs="Times New Roman"/>
          <w:bCs/>
          <w:color w:val="000000"/>
          <w:sz w:val="21"/>
          <w:szCs w:val="21"/>
          <w:u w:val="single"/>
          <w:lang w:val="en-US" w:eastAsia="zh-CN"/>
        </w:rPr>
        <w:t>安徽环巢湖生态发展有限公司</w:t>
      </w:r>
      <w:r>
        <w:rPr>
          <w:rFonts w:ascii="Times New Roman" w:hAnsi="Times New Roman" w:cs="Times New Roman" w:eastAsiaTheme="minorEastAsia"/>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hint="eastAsia" w:ascii="Times New Roman" w:hAnsi="Times New Roman" w:cs="Times New Roman"/>
          <w:szCs w:val="21"/>
          <w:u w:val="single"/>
          <w:lang w:eastAsia="zh-CN"/>
        </w:rPr>
        <w:t xml:space="preserve"> </w:t>
      </w:r>
      <w:r>
        <w:rPr>
          <w:rFonts w:hint="eastAsia" w:ascii="Times New Roman" w:hAnsi="Times New Roman" w:cs="Times New Roman"/>
          <w:szCs w:val="21"/>
          <w:u w:val="single"/>
          <w:lang w:val="en-US" w:eastAsia="zh-CN"/>
        </w:rPr>
        <w:t>报废电梯</w:t>
      </w:r>
      <w:r>
        <w:rPr>
          <w:rFonts w:hint="eastAsia" w:ascii="Times New Roman" w:hAnsi="Times New Roman" w:cs="Times New Roman"/>
          <w:szCs w:val="21"/>
          <w:u w:val="single"/>
          <w:lang w:eastAsia="zh-CN"/>
        </w:rPr>
        <w:t>资产评估项目</w:t>
      </w:r>
      <w:r>
        <w:rPr>
          <w:rFonts w:hint="eastAsia" w:ascii="Times New Roman" w:hAnsi="Times New Roman" w:cs="Times New Roman"/>
          <w:bCs/>
          <w:color w:val="000000"/>
          <w:sz w:val="21"/>
          <w:szCs w:val="21"/>
          <w:u w:val="single"/>
          <w:lang w:val="en-US" w:eastAsia="zh-CN"/>
        </w:rPr>
        <w:t xml:space="preserve"> </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14:paraId="45A10260">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14:paraId="5066DBC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szCs w:val="21"/>
          <w:u w:val="single"/>
          <w:lang w:val="en-US" w:eastAsia="zh-CN"/>
        </w:rPr>
        <w:t>2025HHST006</w:t>
      </w:r>
      <w:r>
        <w:rPr>
          <w:rFonts w:hint="eastAsia" w:ascii="Times New Roman" w:hAnsi="Times New Roman" w:cs="Times New Roman" w:eastAsiaTheme="minorEastAsia"/>
          <w:szCs w:val="21"/>
          <w:u w:val="single"/>
        </w:rPr>
        <w:t>号</w:t>
      </w:r>
    </w:p>
    <w:p w14:paraId="2DC91D0B">
      <w:pPr>
        <w:autoSpaceDE w:val="0"/>
        <w:autoSpaceDN w:val="0"/>
        <w:adjustRightInd w:val="0"/>
        <w:spacing w:line="360" w:lineRule="auto"/>
        <w:ind w:firstLine="382" w:firstLineChars="182"/>
        <w:jc w:val="left"/>
        <w:rPr>
          <w:rFonts w:hint="eastAsia" w:ascii="Times New Roman" w:hAnsi="Times New Roman" w:cs="Times New Roman" w:eastAsiaTheme="minorEastAsia"/>
          <w:bCs/>
          <w:color w:val="000000"/>
          <w:szCs w:val="21"/>
          <w:u w:val="single"/>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bCs/>
          <w:color w:val="000000"/>
          <w:sz w:val="21"/>
          <w:szCs w:val="21"/>
          <w:u w:val="single"/>
          <w:lang w:val="en-US" w:eastAsia="zh-CN"/>
        </w:rPr>
        <w:t>安徽环巢湖生态发展有限公司报废电梯资产评估项目（二次）</w:t>
      </w:r>
    </w:p>
    <w:p w14:paraId="14F093DC">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东庵森林公园</w:t>
      </w:r>
      <w:r>
        <w:rPr>
          <w:rFonts w:hint="eastAsia" w:ascii="Times New Roman" w:hAnsi="Times New Roman" w:cs="Times New Roman"/>
          <w:bCs/>
          <w:color w:val="000000"/>
          <w:sz w:val="21"/>
          <w:szCs w:val="21"/>
          <w:u w:val="single"/>
          <w:lang w:val="en-US" w:eastAsia="zh-CN"/>
        </w:rPr>
        <w:t>贵宾楼</w:t>
      </w:r>
    </w:p>
    <w:p w14:paraId="2AECAFA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heme="majorEastAsia" w:hAnsiTheme="majorEastAsia" w:eastAsiaTheme="majorEastAsia" w:cstheme="majorEastAsia"/>
          <w:sz w:val="21"/>
          <w:szCs w:val="21"/>
          <w:u w:val="single"/>
          <w:lang w:val="en-US" w:eastAsia="zh-CN"/>
        </w:rPr>
        <w:t>安徽环巢湖生态发展有限公司</w:t>
      </w:r>
    </w:p>
    <w:p w14:paraId="5CD4DC66">
      <w:pPr>
        <w:spacing w:line="360" w:lineRule="auto"/>
        <w:ind w:firstLine="420" w:firstLineChars="200"/>
        <w:rPr>
          <w:rFonts w:hint="default" w:ascii="Times New Roman" w:hAnsi="Times New Roman" w:cs="Times New Roman" w:eastAsiaTheme="minorEastAsia"/>
          <w:szCs w:val="21"/>
          <w:u w:val="single"/>
          <w:lang w:val="en-US" w:eastAsia="zh-CN"/>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szCs w:val="21"/>
          <w:u w:val="single"/>
          <w:lang w:val="en-US" w:eastAsia="zh-CN"/>
        </w:rPr>
        <w:t>详见招标需求</w:t>
      </w:r>
    </w:p>
    <w:p w14:paraId="7190CF4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自筹</w:t>
      </w:r>
      <w:r>
        <w:rPr>
          <w:rFonts w:ascii="Times New Roman" w:hAnsi="Times New Roman" w:cs="Times New Roman" w:eastAsiaTheme="minorEastAsia"/>
          <w:szCs w:val="21"/>
          <w:u w:val="single"/>
        </w:rPr>
        <w:t xml:space="preserve">    </w:t>
      </w:r>
    </w:p>
    <w:p w14:paraId="0FF5921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2000元</w:t>
      </w:r>
      <w:r>
        <w:rPr>
          <w:rFonts w:ascii="Times New Roman" w:hAnsi="Times New Roman" w:cs="Times New Roman" w:eastAsiaTheme="minorEastAsia"/>
          <w:szCs w:val="21"/>
          <w:u w:val="single"/>
        </w:rPr>
        <w:t xml:space="preserve">    </w:t>
      </w:r>
    </w:p>
    <w:p w14:paraId="5A044508">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服务类</w:t>
      </w:r>
      <w:r>
        <w:rPr>
          <w:rFonts w:ascii="Times New Roman" w:hAnsi="Times New Roman" w:cs="Times New Roman" w:eastAsiaTheme="minorEastAsia"/>
          <w:szCs w:val="21"/>
          <w:u w:val="single"/>
        </w:rPr>
        <w:t xml:space="preserve"> </w:t>
      </w:r>
    </w:p>
    <w:p w14:paraId="035D41A4">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14:paraId="65EA4B82">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14:paraId="7EA5FB55">
      <w:pPr>
        <w:spacing w:line="360" w:lineRule="auto"/>
        <w:ind w:firstLine="420" w:firstLineChars="200"/>
        <w:rPr>
          <w:rFonts w:hint="default"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2</w:t>
      </w:r>
      <w:r>
        <w:rPr>
          <w:rFonts w:hint="default" w:ascii="Times New Roman" w:hAnsi="Times New Roman" w:cs="Times New Roman" w:eastAsiaTheme="majorEastAsia"/>
          <w:sz w:val="21"/>
          <w:szCs w:val="21"/>
        </w:rPr>
        <w:t>.本项目不接受联合体投标。</w:t>
      </w:r>
    </w:p>
    <w:p w14:paraId="651D4F34">
      <w:pPr>
        <w:spacing w:line="360" w:lineRule="auto"/>
        <w:ind w:firstLine="420" w:firstLineChars="200"/>
        <w:rPr>
          <w:rFonts w:hint="default" w:ascii="Times New Roman" w:hAnsi="Times New Roman" w:cs="Times New Roman" w:eastAsiaTheme="majorEastAsia"/>
          <w:szCs w:val="21"/>
          <w:lang w:val="en-US" w:eastAsia="zh-CN"/>
        </w:rPr>
      </w:pPr>
      <w:r>
        <w:rPr>
          <w:rFonts w:hint="eastAsia" w:ascii="Times New Roman" w:hAnsi="Times New Roman" w:cs="Times New Roman" w:eastAsiaTheme="majorEastAsia"/>
          <w:sz w:val="21"/>
          <w:szCs w:val="21"/>
          <w:lang w:val="en-US" w:eastAsia="zh-CN"/>
        </w:rPr>
        <w:t>3</w:t>
      </w:r>
      <w:r>
        <w:rPr>
          <w:rFonts w:hint="default" w:ascii="Times New Roman" w:hAnsi="Times New Roman" w:cs="Times New Roman" w:eastAsiaTheme="majorEastAsia"/>
          <w:sz w:val="21"/>
          <w:szCs w:val="21"/>
          <w:lang w:val="en-US" w:eastAsia="zh-CN"/>
        </w:rPr>
        <w:t>.</w:t>
      </w:r>
      <w:r>
        <w:rPr>
          <w:rFonts w:hint="eastAsia" w:asciiTheme="majorEastAsia" w:hAnsiTheme="majorEastAsia" w:eastAsiaTheme="majorEastAsia" w:cstheme="majorEastAsia"/>
          <w:sz w:val="21"/>
          <w:szCs w:val="21"/>
        </w:rPr>
        <w:t>投标人不得存在</w:t>
      </w:r>
      <w:r>
        <w:rPr>
          <w:rFonts w:hint="eastAsia" w:asciiTheme="majorEastAsia" w:hAnsiTheme="majorEastAsia" w:eastAsiaTheme="majorEastAsia" w:cstheme="majorEastAsia"/>
          <w:sz w:val="21"/>
          <w:szCs w:val="21"/>
          <w:lang w:val="en-US" w:eastAsia="zh-CN"/>
        </w:rPr>
        <w:t>的</w:t>
      </w:r>
      <w:r>
        <w:rPr>
          <w:rFonts w:hint="eastAsia" w:asciiTheme="majorEastAsia" w:hAnsiTheme="majorEastAsia" w:eastAsiaTheme="majorEastAsia" w:cstheme="majorEastAsia"/>
          <w:sz w:val="21"/>
          <w:szCs w:val="21"/>
        </w:rPr>
        <w:t>不良信用记录情形</w:t>
      </w:r>
      <w:r>
        <w:rPr>
          <w:rFonts w:hint="eastAsia" w:asciiTheme="majorEastAsia" w:hAnsiTheme="majorEastAsia" w:eastAsiaTheme="majorEastAsia" w:cstheme="majorEastAsia"/>
          <w:sz w:val="21"/>
          <w:szCs w:val="21"/>
          <w:lang w:eastAsia="zh-CN"/>
        </w:rPr>
        <w:t>：</w:t>
      </w:r>
      <w:r>
        <w:rPr>
          <w:rFonts w:hint="default" w:ascii="Times New Roman" w:hAnsi="Times New Roman" w:cs="Times New Roman" w:eastAsiaTheme="majorEastAsia"/>
          <w:sz w:val="21"/>
          <w:szCs w:val="21"/>
          <w:lang w:val="en-US" w:eastAsia="zh-CN"/>
        </w:rPr>
        <w:t>近</w:t>
      </w:r>
      <w:r>
        <w:rPr>
          <w:rFonts w:hint="eastAsia" w:ascii="Times New Roman" w:hAnsi="Times New Roman" w:cs="Times New Roman" w:eastAsiaTheme="majorEastAsia"/>
          <w:sz w:val="21"/>
          <w:szCs w:val="21"/>
          <w:lang w:val="en-US" w:eastAsia="zh-CN"/>
        </w:rPr>
        <w:t>两年</w:t>
      </w:r>
      <w:r>
        <w:rPr>
          <w:rFonts w:hint="default" w:ascii="Times New Roman" w:hAnsi="Times New Roman" w:cs="Times New Roman" w:eastAsiaTheme="majorEastAsia"/>
          <w:sz w:val="21"/>
          <w:szCs w:val="21"/>
          <w:lang w:val="en-US" w:eastAsia="zh-CN"/>
        </w:rPr>
        <w:t>被列入合肥文旅博览集团有限公司信用评价体系黑名单</w:t>
      </w:r>
      <w:r>
        <w:rPr>
          <w:rFonts w:hint="eastAsia" w:ascii="Times New Roman" w:hAnsi="Times New Roman" w:cs="Times New Roman" w:eastAsiaTheme="majorEastAsia"/>
          <w:sz w:val="21"/>
          <w:szCs w:val="21"/>
          <w:lang w:val="en-US" w:eastAsia="zh-CN"/>
        </w:rPr>
        <w:t>。</w:t>
      </w:r>
    </w:p>
    <w:p w14:paraId="714850E1">
      <w:pPr>
        <w:spacing w:line="360" w:lineRule="auto"/>
        <w:rPr>
          <w:rFonts w:hint="eastAsia" w:ascii="Times New Roman" w:hAnsi="Times New Roman" w:cs="Times New Roman" w:eastAsiaTheme="minorEastAsia"/>
          <w:b/>
          <w:bCs/>
          <w:color w:val="auto"/>
          <w:sz w:val="24"/>
          <w:szCs w:val="18"/>
          <w:lang w:val="en-US" w:eastAsia="zh-CN"/>
        </w:rPr>
      </w:pPr>
      <w:r>
        <w:rPr>
          <w:rFonts w:ascii="Times New Roman" w:hAnsi="Times New Roman" w:cs="Times New Roman" w:eastAsiaTheme="minorEastAsia"/>
          <w:b/>
          <w:bCs/>
          <w:color w:val="auto"/>
          <w:sz w:val="24"/>
          <w:szCs w:val="18"/>
        </w:rPr>
        <w:t>三</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询价文件的获取</w:t>
      </w:r>
      <w:r>
        <w:rPr>
          <w:rFonts w:hint="eastAsia" w:ascii="Times New Roman" w:hAnsi="Times New Roman" w:cs="Times New Roman" w:eastAsiaTheme="minorEastAsia"/>
          <w:b/>
          <w:bCs/>
          <w:color w:val="auto"/>
          <w:sz w:val="24"/>
          <w:szCs w:val="18"/>
          <w:lang w:val="en-US" w:eastAsia="zh-CN"/>
        </w:rPr>
        <w:t>及报名</w:t>
      </w:r>
    </w:p>
    <w:p w14:paraId="1B812BD1">
      <w:pPr>
        <w:widowControl/>
        <w:spacing w:line="500" w:lineRule="exact"/>
        <w:ind w:firstLine="420" w:firstLineChars="200"/>
        <w:jc w:val="left"/>
        <w:rPr>
          <w:rFonts w:ascii="Times New Roman" w:hAnsi="Times New Roman" w:eastAsia="宋体" w:cs="Times New Roman"/>
          <w:bCs/>
          <w:snapToGrid w:val="0"/>
          <w:color w:val="auto"/>
          <w:highlight w:val="none"/>
        </w:rPr>
      </w:pPr>
      <w:r>
        <w:rPr>
          <w:rFonts w:ascii="Times New Roman" w:hAnsi="Times New Roman" w:cs="Times New Roman" w:eastAsiaTheme="majorEastAsia"/>
          <w:color w:val="auto"/>
          <w:szCs w:val="21"/>
          <w:highlight w:val="none"/>
        </w:rPr>
        <w:t>1.</w:t>
      </w:r>
      <w:r>
        <w:rPr>
          <w:rFonts w:hint="eastAsia" w:ascii="Times New Roman" w:hAnsi="Times New Roman" w:cs="Times New Roman" w:eastAsiaTheme="majorEastAsia"/>
          <w:color w:val="auto"/>
          <w:szCs w:val="21"/>
          <w:highlight w:val="none"/>
          <w:lang w:val="en-US" w:eastAsia="zh-CN"/>
        </w:rPr>
        <w:t>报名</w:t>
      </w:r>
      <w:r>
        <w:rPr>
          <w:rFonts w:ascii="Times New Roman" w:hAnsi="Times New Roman" w:cs="Times New Roman" w:eastAsiaTheme="majorEastAsia"/>
          <w:color w:val="auto"/>
          <w:szCs w:val="21"/>
          <w:highlight w:val="none"/>
        </w:rPr>
        <w:t>时间：</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2025</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年</w:t>
      </w:r>
      <w:r>
        <w:rPr>
          <w:rFonts w:hint="eastAsia" w:ascii="Times New Roman" w:hAnsi="Times New Roman" w:eastAsia="宋体" w:cs="Times New Roman"/>
          <w:bCs/>
          <w:snapToGrid w:val="0"/>
          <w:color w:val="auto"/>
          <w:highlight w:val="none"/>
          <w:u w:val="single"/>
          <w:lang w:val="en-US" w:eastAsia="zh-CN"/>
        </w:rPr>
        <w:t>9</w:t>
      </w:r>
      <w:r>
        <w:rPr>
          <w:rFonts w:ascii="Times New Roman" w:hAnsi="Times New Roman" w:eastAsia="宋体" w:cs="Times New Roman"/>
          <w:bCs/>
          <w:snapToGrid w:val="0"/>
          <w:color w:val="auto"/>
          <w:highlight w:val="none"/>
        </w:rPr>
        <w:t>月</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6</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日至</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2025</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年</w:t>
      </w:r>
      <w:r>
        <w:rPr>
          <w:rFonts w:hint="eastAsia" w:ascii="Times New Roman" w:hAnsi="Times New Roman" w:eastAsia="宋体" w:cs="Times New Roman"/>
          <w:bCs/>
          <w:snapToGrid w:val="0"/>
          <w:color w:val="auto"/>
          <w:highlight w:val="none"/>
          <w:u w:val="single"/>
          <w:lang w:val="en-US" w:eastAsia="zh-CN"/>
        </w:rPr>
        <w:t>9</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月</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 xml:space="preserve"> 8 </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日(北京时间)</w:t>
      </w:r>
    </w:p>
    <w:p w14:paraId="79E8BF8E">
      <w:pPr>
        <w:widowControl/>
        <w:wordWrap w:val="0"/>
        <w:spacing w:line="500" w:lineRule="exact"/>
        <w:ind w:firstLine="420" w:firstLineChars="200"/>
        <w:jc w:val="left"/>
        <w:rPr>
          <w:rFonts w:ascii="Times New Roman" w:hAnsi="Times New Roman" w:eastAsia="宋体" w:cs="Times New Roman"/>
          <w:bCs/>
          <w:snapToGrid w:val="0"/>
          <w:color w:val="auto"/>
        </w:rPr>
      </w:pPr>
      <w:r>
        <w:rPr>
          <w:rFonts w:ascii="Times New Roman" w:hAnsi="Times New Roman" w:cs="Times New Roman" w:eastAsiaTheme="majorEastAsia"/>
          <w:color w:val="auto"/>
          <w:szCs w:val="21"/>
        </w:rPr>
        <w:t>2.</w:t>
      </w:r>
      <w:r>
        <w:rPr>
          <w:rFonts w:hint="eastAsia" w:ascii="Times New Roman" w:hAnsi="Times New Roman" w:cs="Times New Roman" w:eastAsiaTheme="majorEastAsia"/>
          <w:color w:val="auto"/>
          <w:szCs w:val="21"/>
          <w:lang w:val="en-US" w:eastAsia="zh-CN"/>
        </w:rPr>
        <w:t>询价文件</w:t>
      </w:r>
      <w:r>
        <w:rPr>
          <w:rFonts w:ascii="Times New Roman" w:hAnsi="Times New Roman" w:cs="Times New Roman" w:eastAsiaTheme="majorEastAsia"/>
          <w:color w:val="auto"/>
          <w:szCs w:val="21"/>
        </w:rPr>
        <w:t>获取方式：</w:t>
      </w:r>
      <w:r>
        <w:rPr>
          <w:rFonts w:ascii="Times New Roman" w:hAnsi="Times New Roman" w:eastAsia="宋体" w:cs="Times New Roman"/>
          <w:bCs/>
          <w:snapToGrid w:val="0"/>
          <w:color w:val="auto"/>
        </w:rPr>
        <w:t>投标人登录合肥文旅博览集团有限公司网站（http://www.zwzcgl.com）下载询价文件</w:t>
      </w:r>
    </w:p>
    <w:p w14:paraId="23B035FD">
      <w:pPr>
        <w:widowControl/>
        <w:wordWrap w:val="0"/>
        <w:spacing w:line="500" w:lineRule="exact"/>
        <w:ind w:firstLine="420" w:firstLineChars="20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rFonts w:ascii="Times New Roman" w:hAnsi="Times New Roman" w:cs="Times New Roman" w:eastAsiaTheme="majorEastAsia"/>
          <w:color w:val="auto"/>
          <w:szCs w:val="21"/>
        </w:rPr>
        <w:fldChar w:fldCharType="begin"/>
      </w:r>
      <w:r>
        <w:rPr>
          <w:rFonts w:ascii="Times New Roman" w:hAnsi="Times New Roman" w:cs="Times New Roman" w:eastAsiaTheme="majorEastAsia"/>
          <w:color w:val="auto"/>
          <w:szCs w:val="21"/>
        </w:rPr>
        <w:instrText xml:space="preserve"> HYPERLINK "mailto:******@qq.com" </w:instrText>
      </w:r>
      <w:r>
        <w:rPr>
          <w:rFonts w:ascii="Times New Roman" w:hAnsi="Times New Roman" w:cs="Times New Roman" w:eastAsiaTheme="majorEastAsia"/>
          <w:color w:val="auto"/>
          <w:szCs w:val="21"/>
        </w:rPr>
        <w:fldChar w:fldCharType="separate"/>
      </w:r>
      <w:r>
        <w:rPr>
          <w:rFonts w:hint="eastAsia" w:ascii="Times New Roman" w:hAnsi="Times New Roman" w:cs="Times New Roman" w:eastAsiaTheme="majorEastAsia"/>
          <w:i w:val="0"/>
          <w:iCs w:val="0"/>
          <w:caps w:val="0"/>
          <w:color w:val="auto"/>
          <w:spacing w:val="0"/>
          <w:kern w:val="2"/>
          <w:sz w:val="21"/>
          <w:szCs w:val="21"/>
          <w:shd w:val="clear" w:fill="auto"/>
          <w:lang w:val="en-US" w:eastAsia="zh-CN" w:bidi="ar"/>
        </w:rPr>
        <w:t>331091233@qq.com</w:t>
      </w:r>
      <w:r>
        <w:rPr>
          <w:rFonts w:ascii="Times New Roman" w:hAnsi="Times New Roman" w:cs="Times New Roman" w:eastAsiaTheme="majorEastAsia"/>
          <w:color w:val="auto"/>
          <w:szCs w:val="21"/>
        </w:rPr>
        <w:fldChar w:fldCharType="end"/>
      </w:r>
    </w:p>
    <w:p w14:paraId="1AAE4E0C">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bCs/>
          <w:color w:val="auto"/>
          <w:sz w:val="24"/>
          <w:szCs w:val="18"/>
        </w:rPr>
        <w:t>四</w:t>
      </w:r>
      <w:r>
        <w:rPr>
          <w:rFonts w:ascii="Times New Roman" w:hAnsi="Times New Roman" w:cs="Times New Roman" w:eastAsiaTheme="minorEastAsia"/>
          <w:b/>
          <w:color w:val="auto"/>
          <w:sz w:val="24"/>
        </w:rPr>
        <w:t>、</w:t>
      </w:r>
      <w:r>
        <w:rPr>
          <w:rFonts w:hint="eastAsia" w:ascii="Times New Roman" w:hAnsi="Times New Roman" w:cs="Times New Roman"/>
          <w:b/>
          <w:bCs/>
          <w:color w:val="auto"/>
          <w:sz w:val="24"/>
          <w:szCs w:val="18"/>
          <w:lang w:val="en-US" w:eastAsia="zh-CN"/>
        </w:rPr>
        <w:t>开标</w:t>
      </w:r>
      <w:r>
        <w:rPr>
          <w:rFonts w:ascii="Times New Roman" w:hAnsi="Times New Roman" w:cs="Times New Roman" w:eastAsiaTheme="minorEastAsia"/>
          <w:b/>
          <w:bCs/>
          <w:color w:val="auto"/>
          <w:sz w:val="24"/>
          <w:szCs w:val="18"/>
        </w:rPr>
        <w:t>时间及地点</w:t>
      </w:r>
    </w:p>
    <w:p w14:paraId="2D78B022">
      <w:pPr>
        <w:spacing w:line="360" w:lineRule="auto"/>
        <w:ind w:firstLine="435"/>
        <w:rPr>
          <w:rFonts w:ascii="Times New Roman" w:hAnsi="Times New Roman" w:cs="Times New Roman" w:eastAsiaTheme="minorEastAsia"/>
          <w:color w:val="auto"/>
          <w:szCs w:val="15"/>
          <w:highlight w:val="none"/>
        </w:rPr>
      </w:pPr>
      <w:r>
        <w:rPr>
          <w:rFonts w:ascii="Times New Roman" w:hAnsi="Times New Roman" w:cs="Times New Roman" w:eastAsiaTheme="minorEastAsia"/>
          <w:color w:val="auto"/>
          <w:szCs w:val="15"/>
          <w:highlight w:val="none"/>
        </w:rPr>
        <w:t>1</w:t>
      </w:r>
      <w:r>
        <w:rPr>
          <w:rFonts w:ascii="Times New Roman" w:hAnsi="Times New Roman" w:cs="Times New Roman" w:eastAsiaTheme="minorEastAsia"/>
          <w:b/>
          <w:color w:val="auto"/>
          <w:szCs w:val="16"/>
          <w:highlight w:val="none"/>
        </w:rPr>
        <w:t>.</w:t>
      </w:r>
      <w:r>
        <w:rPr>
          <w:rFonts w:hint="eastAsia" w:ascii="Times New Roman" w:hAnsi="Times New Roman" w:cs="Times New Roman"/>
          <w:color w:val="auto"/>
          <w:szCs w:val="15"/>
          <w:highlight w:val="none"/>
          <w:lang w:val="en-US" w:eastAsia="zh-CN"/>
        </w:rPr>
        <w:t>开标</w:t>
      </w:r>
      <w:r>
        <w:rPr>
          <w:rFonts w:ascii="Times New Roman" w:hAnsi="Times New Roman" w:cs="Times New Roman" w:eastAsiaTheme="minorEastAsia"/>
          <w:color w:val="auto"/>
          <w:szCs w:val="15"/>
          <w:highlight w:val="none"/>
        </w:rPr>
        <w:t>时间：</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2025</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eastAsia="宋体" w:cs="Times New Roman"/>
          <w:bCs/>
          <w:snapToGrid w:val="0"/>
          <w:color w:val="auto"/>
          <w:sz w:val="18"/>
          <w:szCs w:val="16"/>
          <w:highlight w:val="none"/>
        </w:rPr>
        <w:t>年</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9</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eastAsia="宋体" w:cs="Times New Roman"/>
          <w:bCs/>
          <w:snapToGrid w:val="0"/>
          <w:color w:val="auto"/>
          <w:sz w:val="18"/>
          <w:szCs w:val="16"/>
          <w:highlight w:val="none"/>
        </w:rPr>
        <w:t>月</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9</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eastAsia="宋体" w:cs="Times New Roman"/>
          <w:bCs/>
          <w:snapToGrid w:val="0"/>
          <w:color w:val="auto"/>
          <w:sz w:val="18"/>
          <w:szCs w:val="16"/>
          <w:highlight w:val="none"/>
        </w:rPr>
        <w:t>日</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15</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cs="Times New Roman" w:eastAsiaTheme="minorEastAsia"/>
          <w:color w:val="auto"/>
          <w:szCs w:val="15"/>
          <w:highlight w:val="none"/>
        </w:rPr>
        <w:t xml:space="preserve"> 时</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00</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cs="Times New Roman" w:eastAsiaTheme="minorEastAsia"/>
          <w:color w:val="auto"/>
          <w:szCs w:val="15"/>
          <w:highlight w:val="none"/>
        </w:rPr>
        <w:t>分</w:t>
      </w:r>
    </w:p>
    <w:p w14:paraId="268D6284">
      <w:pPr>
        <w:spacing w:line="360" w:lineRule="auto"/>
        <w:ind w:firstLine="435"/>
        <w:rPr>
          <w:rFonts w:ascii="Times New Roman" w:hAnsi="Times New Roman" w:cs="Times New Roman" w:eastAsiaTheme="minorEastAsia"/>
          <w:color w:val="auto"/>
          <w:szCs w:val="21"/>
          <w:highlight w:val="none"/>
          <w:u w:val="single"/>
        </w:rPr>
      </w:pPr>
      <w:r>
        <w:rPr>
          <w:rFonts w:ascii="Times New Roman" w:hAnsi="Times New Roman" w:cs="Times New Roman" w:eastAsiaTheme="minorEastAsia"/>
          <w:color w:val="auto"/>
          <w:szCs w:val="15"/>
          <w:highlight w:val="none"/>
        </w:rPr>
        <w:t>2</w:t>
      </w:r>
      <w:r>
        <w:rPr>
          <w:rFonts w:ascii="Times New Roman" w:hAnsi="Times New Roman" w:cs="Times New Roman" w:eastAsiaTheme="minorEastAsia"/>
          <w:b/>
          <w:color w:val="auto"/>
          <w:szCs w:val="16"/>
          <w:highlight w:val="none"/>
        </w:rPr>
        <w:t>.</w:t>
      </w:r>
      <w:r>
        <w:rPr>
          <w:rFonts w:hint="eastAsia" w:ascii="Times New Roman" w:hAnsi="Times New Roman" w:cs="Times New Roman"/>
          <w:color w:val="auto"/>
          <w:szCs w:val="15"/>
          <w:highlight w:val="none"/>
          <w:lang w:val="en-US" w:eastAsia="zh-CN"/>
        </w:rPr>
        <w:t>开标</w:t>
      </w:r>
      <w:r>
        <w:rPr>
          <w:rFonts w:ascii="Times New Roman" w:hAnsi="Times New Roman" w:cs="Times New Roman" w:eastAsiaTheme="minorEastAsia"/>
          <w:color w:val="auto"/>
          <w:szCs w:val="15"/>
          <w:highlight w:val="none"/>
        </w:rPr>
        <w:t>地点：</w:t>
      </w:r>
      <w:r>
        <w:rPr>
          <w:rFonts w:ascii="Times New Roman" w:hAnsi="Times New Roman" w:cs="Times New Roman" w:eastAsiaTheme="minorEastAsia"/>
          <w:color w:val="auto"/>
          <w:szCs w:val="21"/>
          <w:highlight w:val="none"/>
          <w:u w:val="single"/>
        </w:rPr>
        <w:t xml:space="preserve"> </w:t>
      </w:r>
      <w:r>
        <w:rPr>
          <w:rFonts w:hint="eastAsia" w:ascii="宋体" w:hAnsi="宋体" w:cs="宋体"/>
          <w:color w:val="auto"/>
          <w:kern w:val="0"/>
          <w:sz w:val="21"/>
          <w:szCs w:val="21"/>
          <w:highlight w:val="none"/>
          <w:u w:val="single"/>
          <w:lang w:val="en-US" w:eastAsia="zh-CN"/>
        </w:rPr>
        <w:t>巢湖市东庵森林公园</w:t>
      </w:r>
      <w:r>
        <w:rPr>
          <w:rFonts w:ascii="Times New Roman" w:hAnsi="Times New Roman" w:cs="Times New Roman" w:eastAsiaTheme="minorEastAsia"/>
          <w:color w:val="auto"/>
          <w:szCs w:val="21"/>
          <w:highlight w:val="none"/>
          <w:u w:val="single"/>
        </w:rPr>
        <w:t xml:space="preserve"> </w:t>
      </w:r>
    </w:p>
    <w:p w14:paraId="3AAA3B56">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bCs/>
          <w:color w:val="auto"/>
          <w:sz w:val="24"/>
          <w:szCs w:val="18"/>
        </w:rPr>
        <w:t>五</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投标文件提交截止时间</w:t>
      </w:r>
    </w:p>
    <w:p w14:paraId="7E8D8701">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同</w:t>
      </w:r>
      <w:r>
        <w:rPr>
          <w:rFonts w:hint="eastAsia" w:ascii="Times New Roman" w:hAnsi="Times New Roman" w:cs="Times New Roman"/>
          <w:color w:val="auto"/>
          <w:szCs w:val="15"/>
          <w:lang w:val="en-US" w:eastAsia="zh-CN"/>
        </w:rPr>
        <w:t>开标</w:t>
      </w:r>
      <w:r>
        <w:rPr>
          <w:rFonts w:ascii="Times New Roman" w:hAnsi="Times New Roman" w:cs="Times New Roman" w:eastAsiaTheme="minorEastAsia"/>
          <w:color w:val="auto"/>
          <w:szCs w:val="15"/>
        </w:rPr>
        <w:t>时间</w:t>
      </w:r>
    </w:p>
    <w:p w14:paraId="64FB3AC2">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color w:val="auto"/>
          <w:sz w:val="24"/>
          <w:szCs w:val="18"/>
        </w:rPr>
        <w:t>六</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联系方式</w:t>
      </w:r>
    </w:p>
    <w:p w14:paraId="0DC12777">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1.招标人</w:t>
      </w:r>
    </w:p>
    <w:p w14:paraId="1CEEC852">
      <w:pPr>
        <w:spacing w:line="360" w:lineRule="auto"/>
        <w:ind w:firstLine="435"/>
        <w:rPr>
          <w:rFonts w:hint="eastAsia" w:ascii="宋体" w:hAnsi="宋体" w:cs="宋体" w:eastAsiaTheme="minorEastAsia"/>
          <w:color w:val="auto"/>
          <w:kern w:val="0"/>
          <w:sz w:val="24"/>
          <w:szCs w:val="24"/>
          <w:u w:val="single"/>
          <w:lang w:val="en-US" w:eastAsia="zh-CN"/>
        </w:rPr>
      </w:pPr>
      <w:r>
        <w:rPr>
          <w:rFonts w:ascii="Times New Roman" w:hAnsi="Times New Roman" w:cs="Times New Roman" w:eastAsiaTheme="minorEastAsia"/>
          <w:color w:val="auto"/>
          <w:szCs w:val="15"/>
        </w:rPr>
        <w:t>招标人：</w:t>
      </w:r>
      <w:r>
        <w:rPr>
          <w:rFonts w:hint="eastAsia" w:ascii="宋体" w:hAnsi="宋体" w:cs="宋体"/>
          <w:color w:val="auto"/>
          <w:kern w:val="0"/>
          <w:sz w:val="21"/>
          <w:szCs w:val="21"/>
          <w:u w:val="single"/>
          <w:lang w:val="en-US" w:eastAsia="zh-CN"/>
        </w:rPr>
        <w:t>安徽环巢湖生态发展有限公司</w:t>
      </w:r>
    </w:p>
    <w:p w14:paraId="7DE632E1">
      <w:pPr>
        <w:spacing w:line="360" w:lineRule="auto"/>
        <w:ind w:firstLine="435"/>
        <w:rPr>
          <w:rFonts w:hint="eastAsia" w:ascii="宋体" w:hAnsi="宋体" w:cs="宋体" w:eastAsiaTheme="minorEastAsia"/>
          <w:color w:val="auto"/>
          <w:kern w:val="0"/>
          <w:szCs w:val="21"/>
          <w:u w:val="single"/>
        </w:rPr>
      </w:pPr>
      <w:r>
        <w:rPr>
          <w:rFonts w:ascii="Times New Roman" w:hAnsi="Times New Roman" w:cs="Times New Roman" w:eastAsiaTheme="minorEastAsia"/>
          <w:color w:val="auto"/>
          <w:szCs w:val="15"/>
        </w:rPr>
        <w:t>地  址：</w:t>
      </w:r>
      <w:r>
        <w:rPr>
          <w:rFonts w:ascii="Times New Roman" w:hAnsi="Times New Roman" w:cs="Times New Roman" w:eastAsiaTheme="minorEastAsia"/>
          <w:color w:val="auto"/>
          <w:szCs w:val="15"/>
          <w:u w:val="single"/>
        </w:rPr>
        <w:t xml:space="preserve"> </w:t>
      </w:r>
      <w:r>
        <w:rPr>
          <w:rFonts w:hint="eastAsia" w:ascii="宋体" w:hAnsi="宋体" w:cs="宋体"/>
          <w:color w:val="auto"/>
          <w:kern w:val="0"/>
          <w:sz w:val="21"/>
          <w:szCs w:val="21"/>
          <w:u w:val="single"/>
          <w:lang w:val="en-US" w:eastAsia="zh-CN"/>
        </w:rPr>
        <w:t>巢湖市巢庐路东庵森林公园</w:t>
      </w:r>
      <w:r>
        <w:rPr>
          <w:rFonts w:hint="eastAsia" w:ascii="宋体" w:hAnsi="宋体" w:cs="宋体" w:eastAsiaTheme="minorEastAsia"/>
          <w:color w:val="auto"/>
          <w:kern w:val="0"/>
          <w:szCs w:val="21"/>
          <w:u w:val="single"/>
        </w:rPr>
        <w:t xml:space="preserve"> </w:t>
      </w:r>
    </w:p>
    <w:p w14:paraId="2AB1B140">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联系人：</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张先生</w:t>
      </w:r>
      <w:r>
        <w:rPr>
          <w:rFonts w:ascii="Times New Roman" w:hAnsi="Times New Roman" w:cs="Times New Roman" w:eastAsiaTheme="minorEastAsia"/>
          <w:color w:val="auto"/>
          <w:szCs w:val="15"/>
          <w:u w:val="single"/>
        </w:rPr>
        <w:t xml:space="preserve">      </w:t>
      </w:r>
    </w:p>
    <w:p w14:paraId="261A7E78">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电  话：</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17718179885</w:t>
      </w:r>
      <w:r>
        <w:rPr>
          <w:rFonts w:ascii="Times New Roman" w:hAnsi="Times New Roman" w:cs="Times New Roman" w:eastAsiaTheme="minorEastAsia"/>
          <w:color w:val="auto"/>
          <w:szCs w:val="15"/>
          <w:u w:val="single"/>
        </w:rPr>
        <w:t xml:space="preserve">  </w:t>
      </w:r>
    </w:p>
    <w:p w14:paraId="0C9F99A9">
      <w:pPr>
        <w:spacing w:line="360" w:lineRule="auto"/>
        <w:ind w:firstLine="435"/>
        <w:rPr>
          <w:rFonts w:ascii="Times New Roman" w:hAnsi="Times New Roman" w:cs="Times New Roman" w:eastAsiaTheme="minorEastAsia"/>
          <w:b/>
          <w:color w:val="auto"/>
          <w:szCs w:val="15"/>
        </w:rPr>
      </w:pPr>
      <w:r>
        <w:rPr>
          <w:rFonts w:hint="eastAsia" w:ascii="Times New Roman" w:hAnsi="Times New Roman" w:cs="Times New Roman" w:eastAsiaTheme="minorEastAsia"/>
          <w:color w:val="auto"/>
          <w:szCs w:val="15"/>
        </w:rPr>
        <w:t>2</w:t>
      </w:r>
      <w:r>
        <w:rPr>
          <w:rFonts w:ascii="Times New Roman" w:hAnsi="Times New Roman" w:cs="Times New Roman" w:eastAsiaTheme="minorEastAsia"/>
          <w:b/>
          <w:color w:val="auto"/>
          <w:szCs w:val="15"/>
        </w:rPr>
        <w:t>.</w:t>
      </w:r>
      <w:r>
        <w:rPr>
          <w:rFonts w:ascii="Times New Roman" w:hAnsi="Times New Roman" w:cs="Times New Roman" w:eastAsiaTheme="minorEastAsia"/>
          <w:color w:val="auto"/>
          <w:szCs w:val="15"/>
        </w:rPr>
        <w:t>监督管理部门</w:t>
      </w:r>
    </w:p>
    <w:p w14:paraId="552AB55B">
      <w:pPr>
        <w:widowControl/>
        <w:spacing w:line="460" w:lineRule="exact"/>
        <w:ind w:firstLine="420" w:firstLineChars="200"/>
        <w:jc w:val="left"/>
        <w:rPr>
          <w:rFonts w:hint="default" w:eastAsia="宋体"/>
          <w:bCs/>
          <w:snapToGrid w:val="0"/>
          <w:kern w:val="0"/>
          <w:szCs w:val="21"/>
          <w:lang w:val="en-US" w:eastAsia="zh-CN"/>
        </w:rPr>
      </w:pPr>
      <w:r>
        <w:rPr>
          <w:bCs/>
          <w:snapToGrid w:val="0"/>
          <w:kern w:val="0"/>
          <w:szCs w:val="21"/>
        </w:rPr>
        <w:t>监督管理部门：</w:t>
      </w:r>
      <w:r>
        <w:rPr>
          <w:rFonts w:hint="eastAsia"/>
          <w:bCs/>
          <w:snapToGrid w:val="0"/>
          <w:kern w:val="0"/>
          <w:szCs w:val="21"/>
          <w:lang w:eastAsia="zh-CN"/>
        </w:rPr>
        <w:t>安徽环巢湖生态发展有限公司</w:t>
      </w:r>
      <w:r>
        <w:rPr>
          <w:rFonts w:hint="eastAsia"/>
          <w:bCs/>
          <w:snapToGrid w:val="0"/>
          <w:kern w:val="0"/>
          <w:szCs w:val="21"/>
          <w:lang w:val="en-US" w:eastAsia="zh-CN"/>
        </w:rPr>
        <w:t>纪检委员</w:t>
      </w:r>
    </w:p>
    <w:p w14:paraId="6D7538F3">
      <w:pPr>
        <w:widowControl/>
        <w:spacing w:line="460" w:lineRule="exact"/>
        <w:ind w:firstLine="420" w:firstLineChars="200"/>
        <w:jc w:val="left"/>
        <w:rPr>
          <w:bCs/>
          <w:snapToGrid w:val="0"/>
          <w:kern w:val="0"/>
          <w:szCs w:val="21"/>
        </w:rPr>
      </w:pPr>
      <w:r>
        <w:rPr>
          <w:bCs/>
          <w:snapToGrid w:val="0"/>
          <w:kern w:val="0"/>
          <w:szCs w:val="21"/>
        </w:rPr>
        <w:t>地  址：</w:t>
      </w:r>
      <w:r>
        <w:rPr>
          <w:rFonts w:hint="eastAsia"/>
          <w:bCs/>
          <w:snapToGrid w:val="0"/>
          <w:kern w:val="0"/>
          <w:szCs w:val="21"/>
          <w:lang w:eastAsia="zh-CN"/>
        </w:rPr>
        <w:t>巢湖市东庵森林公园酒店</w:t>
      </w:r>
    </w:p>
    <w:p w14:paraId="2E3BF694">
      <w:pPr>
        <w:widowControl/>
        <w:spacing w:line="460" w:lineRule="exact"/>
        <w:ind w:firstLine="420" w:firstLineChars="200"/>
        <w:jc w:val="left"/>
        <w:rPr>
          <w:bCs/>
          <w:snapToGrid w:val="0"/>
          <w:kern w:val="0"/>
          <w:szCs w:val="21"/>
        </w:rPr>
      </w:pPr>
      <w:r>
        <w:rPr>
          <w:bCs/>
          <w:snapToGrid w:val="0"/>
          <w:kern w:val="0"/>
          <w:szCs w:val="21"/>
        </w:rPr>
        <w:t>电  话：</w:t>
      </w:r>
      <w:r>
        <w:rPr>
          <w:rFonts w:hint="eastAsia"/>
          <w:bCs/>
          <w:snapToGrid w:val="0"/>
          <w:kern w:val="0"/>
          <w:szCs w:val="21"/>
        </w:rPr>
        <w:t>13635655905</w:t>
      </w:r>
    </w:p>
    <w:p w14:paraId="25055220">
      <w:pPr>
        <w:spacing w:line="360" w:lineRule="auto"/>
        <w:ind w:firstLine="435"/>
        <w:rPr>
          <w:rFonts w:ascii="Times New Roman" w:hAnsi="Times New Roman" w:cs="Times New Roman" w:eastAsiaTheme="minorEastAsia"/>
          <w:b/>
          <w:color w:val="auto"/>
          <w:sz w:val="24"/>
          <w:szCs w:val="18"/>
        </w:rPr>
      </w:pPr>
      <w:r>
        <w:rPr>
          <w:rFonts w:ascii="Times New Roman" w:hAnsi="Times New Roman" w:cs="Times New Roman" w:eastAsiaTheme="minorEastAsia"/>
          <w:b/>
          <w:color w:val="auto"/>
          <w:sz w:val="24"/>
          <w:szCs w:val="18"/>
        </w:rPr>
        <w:t>七</w:t>
      </w:r>
      <w:r>
        <w:rPr>
          <w:rFonts w:ascii="Times New Roman" w:hAnsi="Times New Roman" w:cs="Times New Roman" w:eastAsiaTheme="minorEastAsia"/>
          <w:b/>
          <w:color w:val="auto"/>
          <w:sz w:val="24"/>
        </w:rPr>
        <w:t>、</w:t>
      </w:r>
      <w:r>
        <w:rPr>
          <w:rFonts w:ascii="Times New Roman" w:hAnsi="Times New Roman" w:cs="Times New Roman" w:eastAsiaTheme="minorEastAsia"/>
          <w:b/>
          <w:color w:val="auto"/>
          <w:sz w:val="24"/>
          <w:szCs w:val="18"/>
        </w:rPr>
        <w:t>其他事项说明</w:t>
      </w:r>
    </w:p>
    <w:p w14:paraId="56C01920">
      <w:pPr>
        <w:widowControl/>
        <w:spacing w:line="4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14:paraId="79442096">
      <w:pPr>
        <w:spacing w:line="360" w:lineRule="auto"/>
        <w:ind w:firstLine="435"/>
        <w:rPr>
          <w:rFonts w:ascii="Times New Roman" w:hAnsi="Times New Roman" w:cs="Times New Roman" w:eastAsiaTheme="minorEastAsia"/>
          <w:sz w:val="24"/>
          <w:szCs w:val="18"/>
        </w:rPr>
      </w:pPr>
    </w:p>
    <w:p w14:paraId="037DD649">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14:paraId="3C9E4B81">
      <w:pPr>
        <w:spacing w:line="360" w:lineRule="auto"/>
        <w:jc w:val="center"/>
        <w:outlineLvl w:val="1"/>
        <w:rPr>
          <w:rFonts w:ascii="Times New Roman" w:hAnsi="Times New Roman" w:cs="Times New Roman" w:eastAsiaTheme="minorEastAsia"/>
          <w:b/>
          <w:sz w:val="28"/>
        </w:rPr>
      </w:pPr>
      <w:bookmarkStart w:id="2" w:name="_Toc22742"/>
      <w:r>
        <w:rPr>
          <w:rFonts w:ascii="Times New Roman" w:hAnsi="Times New Roman" w:cs="Times New Roman" w:eastAsiaTheme="minorEastAsia"/>
          <w:b/>
          <w:sz w:val="28"/>
        </w:rPr>
        <w:t>第二章  投标人须知</w:t>
      </w:r>
      <w:bookmarkEnd w:id="2"/>
    </w:p>
    <w:p w14:paraId="2A3C1217">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2"/>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855"/>
        <w:gridCol w:w="5798"/>
      </w:tblGrid>
      <w:tr w14:paraId="0731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458E6829">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072" w:type="pct"/>
            <w:vAlign w:val="center"/>
          </w:tcPr>
          <w:p w14:paraId="192885FA">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14:paraId="62B80485">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14:paraId="2807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8BE7E18">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072" w:type="pct"/>
            <w:vAlign w:val="center"/>
          </w:tcPr>
          <w:p w14:paraId="2286DC35">
            <w:pPr>
              <w:pStyle w:val="30"/>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14:paraId="2CBB8ED3">
            <w:pPr>
              <w:pStyle w:val="30"/>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14:paraId="2E94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3BE0C4F2">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72" w:type="pct"/>
            <w:vAlign w:val="center"/>
          </w:tcPr>
          <w:p w14:paraId="55555C55">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14:paraId="2B8C2C9F">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14:paraId="1D49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5F635B81">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072" w:type="pct"/>
            <w:vAlign w:val="center"/>
          </w:tcPr>
          <w:p w14:paraId="19D70F1B">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投标文件要求</w:t>
            </w:r>
          </w:p>
        </w:tc>
        <w:tc>
          <w:tcPr>
            <w:tcW w:w="3350" w:type="pct"/>
            <w:vAlign w:val="center"/>
          </w:tcPr>
          <w:p w14:paraId="7606B999">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u w:val="single"/>
              </w:rPr>
              <w:t>密封纸质投标文件</w:t>
            </w:r>
          </w:p>
        </w:tc>
      </w:tr>
      <w:tr w14:paraId="33C1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5420F5AF">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072" w:type="pct"/>
            <w:vAlign w:val="center"/>
          </w:tcPr>
          <w:p w14:paraId="10CD3B83">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14:paraId="3A2A0B20">
            <w:pPr>
              <w:pStyle w:val="30"/>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0C626736">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53973701">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14:paraId="22CFD835">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419D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5055461C">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072" w:type="pct"/>
            <w:vAlign w:val="center"/>
          </w:tcPr>
          <w:p w14:paraId="421915C9">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14:paraId="3D160B4E">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1AF176A3">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14:paraId="2B1D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17FCB96E">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072" w:type="pct"/>
            <w:vAlign w:val="center"/>
          </w:tcPr>
          <w:p w14:paraId="51681D30">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14:paraId="002D5369">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15DF79C3">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14:paraId="7C51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0B1457B2">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072" w:type="pct"/>
            <w:vAlign w:val="center"/>
          </w:tcPr>
          <w:p w14:paraId="1CCF0E28">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14:paraId="3C8A1071">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p>
          <w:p w14:paraId="06417774">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免收</w:t>
            </w:r>
          </w:p>
          <w:p w14:paraId="6B70ACFF">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12CCE3C0">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14:paraId="7787D7F8">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14:paraId="6CD11E29">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14:paraId="1F2394DE">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09FD7BB5">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14:paraId="19E3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D86A7EB">
            <w:pPr>
              <w:pStyle w:val="30"/>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072" w:type="pct"/>
            <w:vAlign w:val="center"/>
          </w:tcPr>
          <w:p w14:paraId="53D9DD25">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14:paraId="2F415A30">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w:t>
            </w:r>
            <w:r>
              <w:rPr>
                <w:rFonts w:hint="default" w:ascii="Times New Roman" w:hAnsi="Times New Roman" w:eastAsia="宋体" w:cs="Times New Roman"/>
                <w:szCs w:val="21"/>
                <w:lang w:eastAsia="zh-CN"/>
              </w:rPr>
              <w:t>服务</w:t>
            </w:r>
            <w:r>
              <w:rPr>
                <w:rFonts w:ascii="Times New Roman" w:hAnsi="Times New Roman" w:eastAsia="宋体" w:cs="Times New Roman"/>
                <w:szCs w:val="21"/>
              </w:rPr>
              <w:t>的</w:t>
            </w:r>
            <w:r>
              <w:rPr>
                <w:rFonts w:hint="default" w:ascii="Times New Roman" w:hAnsi="Times New Roman" w:eastAsia="宋体" w:cs="Times New Roman"/>
                <w:spacing w:val="0"/>
                <w:sz w:val="21"/>
                <w:szCs w:val="21"/>
                <w:lang w:val="en-US" w:eastAsia="zh-CN"/>
              </w:rPr>
              <w:t>人工费、</w:t>
            </w:r>
            <w:r>
              <w:rPr>
                <w:rFonts w:hint="eastAsia" w:ascii="Times New Roman" w:hAnsi="Times New Roman" w:eastAsia="宋体" w:cs="Times New Roman"/>
                <w:spacing w:val="0"/>
                <w:sz w:val="21"/>
                <w:szCs w:val="21"/>
                <w:lang w:val="en-US" w:eastAsia="zh-CN"/>
              </w:rPr>
              <w:t>评估费、</w:t>
            </w:r>
            <w:r>
              <w:rPr>
                <w:rFonts w:hint="default" w:ascii="Times New Roman" w:hAnsi="Times New Roman" w:eastAsia="宋体" w:cs="Times New Roman"/>
                <w:spacing w:val="0"/>
                <w:sz w:val="21"/>
                <w:szCs w:val="21"/>
                <w:lang w:val="en-US" w:eastAsia="zh-CN"/>
              </w:rPr>
              <w:t>保险费、福利费</w:t>
            </w:r>
            <w:r>
              <w:rPr>
                <w:rFonts w:hint="eastAsia" w:asciiTheme="minorEastAsia" w:hAnsiTheme="minorEastAsia" w:eastAsiaTheme="minorEastAsia" w:cstheme="minorEastAsia"/>
                <w:spacing w:val="6"/>
                <w:sz w:val="21"/>
                <w:szCs w:val="21"/>
                <w:lang w:val="en-US" w:eastAsia="zh-CN"/>
              </w:rPr>
              <w:t>、审计费、利润、税金及完成项目应有的全部费用</w:t>
            </w:r>
            <w:r>
              <w:rPr>
                <w:rFonts w:ascii="Times New Roman" w:hAnsi="Times New Roman" w:eastAsia="宋体" w:cs="Times New Roman"/>
                <w:szCs w:val="21"/>
              </w:rPr>
              <w:t>。</w:t>
            </w:r>
          </w:p>
          <w:p w14:paraId="2EEC81E4">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23DC2D73">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1CB3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07FDDE37">
            <w:pPr>
              <w:pStyle w:val="30"/>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072" w:type="pct"/>
            <w:vAlign w:val="center"/>
          </w:tcPr>
          <w:p w14:paraId="542AD7FB">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14:paraId="734B71C6">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p>
          <w:p w14:paraId="0BBBBAA6">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□要求  </w:t>
            </w:r>
            <w:r>
              <w:rPr>
                <w:rFonts w:hint="eastAsia" w:ascii="Times New Roman" w:hAnsi="Times New Roman" w:eastAsia="宋体" w:cs="Times New Roman"/>
                <w:szCs w:val="21"/>
                <w:lang w:eastAsia="zh-CN"/>
              </w:rPr>
              <w:t>☑</w:t>
            </w:r>
            <w:r>
              <w:rPr>
                <w:rFonts w:ascii="Times New Roman" w:hAnsi="Times New Roman" w:eastAsia="宋体" w:cs="Times New Roman"/>
                <w:szCs w:val="21"/>
              </w:rPr>
              <w:t>不要求</w:t>
            </w:r>
          </w:p>
          <w:p w14:paraId="0A05A3B5">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006FBE87">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4C6FD9AA">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6C9A6C1D">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23FDFF7E">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7DE8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0D2E37B4">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072" w:type="pct"/>
            <w:vAlign w:val="center"/>
          </w:tcPr>
          <w:p w14:paraId="237F519A">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14:paraId="1778EC3F">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14:paraId="18BE1930">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14:paraId="73FC2511">
            <w:pPr>
              <w:pStyle w:val="30"/>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w:t>
            </w:r>
            <w:r>
              <w:rPr>
                <w:rFonts w:hint="eastAsia" w:ascii="Times New Roman" w:hAnsi="Times New Roman" w:cs="Times New Roman"/>
                <w:sz w:val="21"/>
                <w:szCs w:val="21"/>
                <w:lang w:eastAsia="zh-CN"/>
              </w:rPr>
              <w:t>在合肥</w:t>
            </w:r>
            <w:r>
              <w:rPr>
                <w:rFonts w:ascii="Times New Roman" w:hAnsi="Times New Roman" w:cs="Times New Roman" w:eastAsiaTheme="minorEastAsia"/>
                <w:sz w:val="21"/>
                <w:szCs w:val="21"/>
              </w:rPr>
              <w:t>文旅博览集团有限公司官网自行下载本项目附件。</w:t>
            </w:r>
          </w:p>
        </w:tc>
      </w:tr>
      <w:tr w14:paraId="6FD1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01C5C867">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072" w:type="pct"/>
            <w:vAlign w:val="center"/>
          </w:tcPr>
          <w:p w14:paraId="1707210A">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14:paraId="64064D44">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5AE29B3C">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1E79436F">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37FBB910">
            <w:pPr>
              <w:pStyle w:val="7"/>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69EF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6A76F026">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072" w:type="pct"/>
            <w:vAlign w:val="center"/>
          </w:tcPr>
          <w:p w14:paraId="5E22CB6C">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14:paraId="4A8695C3">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3902681C">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26ACBA32">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738DE070">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7329DEBF">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256C087E">
            <w:pPr>
              <w:pStyle w:val="30"/>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14:paraId="5FCB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6C9FF31F">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eastAsia="宋体" w:cs="Times New Roman"/>
                <w:bCs/>
                <w:kern w:val="2"/>
                <w:sz w:val="21"/>
                <w:szCs w:val="21"/>
                <w:lang w:eastAsia="zh-CN"/>
              </w:rPr>
            </w:pP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3</w:t>
            </w:r>
          </w:p>
        </w:tc>
        <w:tc>
          <w:tcPr>
            <w:tcW w:w="1072" w:type="pct"/>
            <w:vAlign w:val="center"/>
          </w:tcPr>
          <w:p w14:paraId="4158CD1E">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14:paraId="7D134FB7">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14:paraId="7DF9BF57">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14:paraId="2CB0601D">
      <w:pPr>
        <w:pStyle w:val="2"/>
      </w:pPr>
    </w:p>
    <w:p w14:paraId="2D7B3A79">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14:paraId="16ABDE53">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服务</w:t>
      </w:r>
      <w:r>
        <w:rPr>
          <w:rFonts w:ascii="Times New Roman" w:hAnsi="Times New Roman" w:eastAsia="宋体" w:cs="Times New Roman"/>
          <w:szCs w:val="21"/>
        </w:rPr>
        <w:t>采购。</w:t>
      </w:r>
    </w:p>
    <w:p w14:paraId="5F1DE8C8">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14:paraId="5C4BED34">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14:paraId="7EDB0AA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14:paraId="0C7AC1F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14:paraId="561198DB">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14:paraId="6D6D1A11">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14:paraId="01737AD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14:paraId="7A0F5092">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w:t>
      </w:r>
      <w:r>
        <w:rPr>
          <w:rFonts w:hint="eastAsia" w:ascii="Times New Roman" w:hAnsi="Times New Roman" w:cs="Times New Roman"/>
          <w:szCs w:val="21"/>
          <w:lang w:eastAsia="zh-CN"/>
        </w:rPr>
        <w:t>服务</w:t>
      </w:r>
      <w:r>
        <w:rPr>
          <w:rFonts w:ascii="Times New Roman" w:hAnsi="Times New Roman" w:cs="Times New Roman" w:eastAsiaTheme="minorEastAsia"/>
          <w:szCs w:val="21"/>
        </w:rPr>
        <w:t>应符合国家强制性标准。</w:t>
      </w:r>
    </w:p>
    <w:bookmarkEnd w:id="3"/>
    <w:p w14:paraId="3A9E576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18F9389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14:paraId="09FE212F">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14:paraId="024262C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14:paraId="207CF614">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14:paraId="4FE6855C">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14:paraId="2E1AB6F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14:paraId="5AABE602">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14:paraId="7D8522FF">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w:t>
      </w:r>
      <w:r>
        <w:rPr>
          <w:rFonts w:hint="eastAsia" w:ascii="Times New Roman" w:hAnsi="Times New Roman" w:cs="Times New Roman"/>
          <w:szCs w:val="21"/>
          <w:lang w:eastAsia="zh-CN"/>
        </w:rPr>
        <w:t>服务</w:t>
      </w:r>
      <w:r>
        <w:rPr>
          <w:rFonts w:ascii="Times New Roman" w:hAnsi="Times New Roman" w:cs="Times New Roman" w:eastAsiaTheme="minorEastAsia"/>
          <w:szCs w:val="21"/>
        </w:rPr>
        <w:t>，以及伴随的服务和工程。</w:t>
      </w:r>
    </w:p>
    <w:p w14:paraId="45507B8C">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14:paraId="33B3C0D4">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w:t>
      </w:r>
      <w:r>
        <w:rPr>
          <w:rFonts w:hint="eastAsia" w:ascii="Times New Roman" w:hAnsi="Times New Roman" w:cs="Times New Roman"/>
          <w:szCs w:val="21"/>
          <w:lang w:eastAsia="zh-CN"/>
        </w:rPr>
        <w:t>服务</w:t>
      </w:r>
      <w:r>
        <w:rPr>
          <w:rFonts w:ascii="Times New Roman" w:hAnsi="Times New Roman" w:cs="Times New Roman" w:eastAsiaTheme="minorEastAsia"/>
          <w:szCs w:val="21"/>
        </w:rPr>
        <w:t>及相关服务的单价（如适用）和总价。未标明的视同包含在报价中。</w:t>
      </w:r>
    </w:p>
    <w:p w14:paraId="33BBC455">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14:paraId="171321A5">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14:paraId="461F2E22">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14:paraId="3C5A76B1">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026376B3">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14:paraId="01086449">
      <w:pPr>
        <w:spacing w:line="360" w:lineRule="auto"/>
        <w:ind w:firstLine="420" w:firstLineChars="200"/>
        <w:rPr>
          <w:rFonts w:ascii="Times New Roman" w:hAnsi="Times New Roman" w:cs="Times New Roman" w:eastAsiaTheme="minorEastAsia"/>
          <w:szCs w:val="21"/>
          <w:highlight w:val="none"/>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w:t>
      </w:r>
      <w:r>
        <w:rPr>
          <w:rFonts w:ascii="Times New Roman" w:hAnsi="Times New Roman" w:cs="Times New Roman" w:eastAsiaTheme="minorEastAsia"/>
          <w:szCs w:val="21"/>
          <w:highlight w:val="none"/>
        </w:rPr>
        <w:t>投标文件，投标文件的制作应满足以下规定：</w:t>
      </w:r>
    </w:p>
    <w:p w14:paraId="34DFCCB7">
      <w:pPr>
        <w:spacing w:line="360" w:lineRule="auto"/>
        <w:ind w:firstLine="420" w:firstLineChars="200"/>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（1）投标文件应装订成册、密封，并在封面注明招标编号、投标项目等，同时在密封处加盖骑缝章；投标文件要求：正</w:t>
      </w:r>
      <w:r>
        <w:rPr>
          <w:rFonts w:hint="eastAsia" w:ascii="Times New Roman" w:hAnsi="Times New Roman" w:cs="Times New Roman"/>
          <w:szCs w:val="21"/>
          <w:highlight w:val="none"/>
          <w:lang w:val="en-US" w:eastAsia="zh-CN"/>
        </w:rPr>
        <w:t>本</w:t>
      </w:r>
      <w:r>
        <w:rPr>
          <w:rFonts w:ascii="Times New Roman" w:hAnsi="Times New Roman" w:cs="Times New Roman" w:eastAsiaTheme="minorEastAsia"/>
          <w:szCs w:val="21"/>
          <w:highlight w:val="none"/>
        </w:rPr>
        <w:t>一份。</w:t>
      </w:r>
    </w:p>
    <w:p w14:paraId="3D0C183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3C6F602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14:paraId="52661504">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14:paraId="40D8CF60">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14:paraId="15C4DA8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14:paraId="0A57A455">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14:paraId="413B7F4D">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14:paraId="6C67D2A8">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14:paraId="35139CB1">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14:paraId="00786556">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14:paraId="0FFF46B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14:paraId="6329339A">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14:paraId="0FABDE4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14:paraId="03FE59E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14:paraId="6AF5C16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14:paraId="3C5D4A9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14:paraId="3CCAA83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14:paraId="5D45D22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14:paraId="43D02A4A">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14:paraId="69EC6931">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759BD122">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14:paraId="52EF4ED8">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14:paraId="49367412">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14:paraId="4D5BE96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14:paraId="257FCF4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14:paraId="640F4119">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14:paraId="61A7496B">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2347EFF8">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14:paraId="59624CC6">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14:paraId="5EDD737F">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14:paraId="792A1ED3">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14:paraId="76FBF707">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14:paraId="66EB0752">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14:paraId="07F020B5">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14:paraId="51E9A5EA">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14:paraId="1F589593">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14:paraId="67C7099A">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14:paraId="5B01A5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11969"/>
      <w:r>
        <w:rPr>
          <w:rFonts w:ascii="Times New Roman" w:hAnsi="Times New Roman" w:cs="Times New Roman" w:eastAsiaTheme="minorEastAsia"/>
          <w:b/>
          <w:sz w:val="28"/>
        </w:rPr>
        <w:t xml:space="preserve">第三章  </w:t>
      </w:r>
      <w:bookmarkEnd w:id="5"/>
      <w:r>
        <w:rPr>
          <w:rFonts w:ascii="Times New Roman" w:hAnsi="Times New Roman" w:cs="Times New Roman" w:eastAsiaTheme="minorEastAsia"/>
          <w:b/>
          <w:sz w:val="28"/>
        </w:rPr>
        <w:t>招标人要求</w:t>
      </w:r>
    </w:p>
    <w:p w14:paraId="69CE596B">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要求应尽可能清晰准确，对于可以进行定量评估的工作，</w:t>
      </w:r>
      <w:r>
        <w:rPr>
          <w:rFonts w:hint="eastAsia" w:ascii="Times New Roman" w:hAnsi="Times New Roman"/>
          <w:sz w:val="21"/>
          <w:szCs w:val="21"/>
        </w:rPr>
        <w:t>招标人</w:t>
      </w:r>
      <w:r>
        <w:rPr>
          <w:rFonts w:ascii="Times New Roman" w:hAnsi="Times New Roman"/>
          <w:sz w:val="21"/>
          <w:szCs w:val="21"/>
        </w:rPr>
        <w:t>要求不仅应明确规定其功能、用途、质量、环境、安全，并且要规定偏差的范围和计算方法，以及检验、试验、试运行的具体要求。对于</w:t>
      </w:r>
      <w:r>
        <w:rPr>
          <w:rFonts w:hint="eastAsia" w:ascii="Times New Roman" w:hAnsi="Times New Roman"/>
          <w:sz w:val="21"/>
          <w:szCs w:val="21"/>
        </w:rPr>
        <w:t>投标人</w:t>
      </w:r>
      <w:r>
        <w:rPr>
          <w:rFonts w:ascii="Times New Roman" w:hAnsi="Times New Roman"/>
          <w:sz w:val="21"/>
          <w:szCs w:val="21"/>
        </w:rPr>
        <w:t>负责提供的有关服务，在</w:t>
      </w:r>
      <w:r>
        <w:rPr>
          <w:rFonts w:hint="eastAsia" w:ascii="Times New Roman" w:hAnsi="Times New Roman"/>
          <w:sz w:val="21"/>
          <w:szCs w:val="21"/>
        </w:rPr>
        <w:t>招标人</w:t>
      </w:r>
      <w:r>
        <w:rPr>
          <w:rFonts w:ascii="Times New Roman" w:hAnsi="Times New Roman"/>
          <w:sz w:val="21"/>
          <w:szCs w:val="21"/>
        </w:rPr>
        <w:t>要求中应一并明确规定。</w:t>
      </w:r>
    </w:p>
    <w:p w14:paraId="48EFE26E">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要求通常包括但不限于以下内容：</w:t>
      </w:r>
    </w:p>
    <w:p w14:paraId="5C1E4FA7">
      <w:pPr>
        <w:spacing w:line="520" w:lineRule="exact"/>
        <w:ind w:firstLine="0" w:firstLineChars="0"/>
        <w:jc w:val="both"/>
        <w:outlineLvl w:val="9"/>
        <w:rPr>
          <w:rFonts w:hint="eastAsia" w:asciiTheme="minorEastAsia" w:hAnsiTheme="minorEastAsia" w:eastAsiaTheme="minorEastAsia" w:cstheme="minorEastAsia"/>
          <w:b/>
          <w:bCs w:val="0"/>
          <w:sz w:val="21"/>
          <w:szCs w:val="21"/>
          <w:lang w:val="en-US" w:eastAsia="zh-CN"/>
        </w:rPr>
      </w:pPr>
      <w:bookmarkStart w:id="6" w:name="_Toc482188637"/>
      <w:bookmarkStart w:id="7" w:name="_Toc19590"/>
      <w:r>
        <w:rPr>
          <w:rFonts w:hint="eastAsia" w:asciiTheme="minorEastAsia" w:hAnsiTheme="minorEastAsia" w:cstheme="minorEastAsia"/>
          <w:b/>
          <w:sz w:val="21"/>
          <w:szCs w:val="21"/>
        </w:rPr>
        <w:t>一、</w:t>
      </w:r>
      <w:bookmarkEnd w:id="6"/>
      <w:r>
        <w:rPr>
          <w:rFonts w:hint="eastAsia" w:asciiTheme="minorEastAsia" w:hAnsiTheme="minorEastAsia" w:eastAsiaTheme="minorEastAsia" w:cstheme="minorEastAsia"/>
          <w:b/>
          <w:bCs w:val="0"/>
          <w:sz w:val="21"/>
          <w:szCs w:val="21"/>
          <w:lang w:val="en-US" w:eastAsia="zh-CN"/>
        </w:rPr>
        <w:t>评估对象及目的</w:t>
      </w:r>
    </w:p>
    <w:p w14:paraId="0A62F148">
      <w:pPr>
        <w:adjustRightInd/>
        <w:snapToGrid/>
        <w:spacing w:line="360" w:lineRule="auto"/>
        <w:ind w:firstLine="420" w:firstLineChars="200"/>
        <w:rPr>
          <w:rFonts w:hint="eastAsia" w:ascii="Times New Roman" w:hAnsi="Times New Roman" w:eastAsiaTheme="minorEastAsia" w:cstheme="minorBidi"/>
          <w:color w:val="auto"/>
          <w:sz w:val="21"/>
          <w:szCs w:val="21"/>
          <w:highlight w:val="none"/>
          <w:lang w:val="en-US" w:eastAsia="zh-CN"/>
        </w:rPr>
      </w:pPr>
      <w:r>
        <w:rPr>
          <w:rFonts w:hint="eastAsia" w:ascii="Times New Roman" w:hAnsi="Times New Roman" w:eastAsiaTheme="minorEastAsia" w:cstheme="minorBidi"/>
          <w:color w:val="auto"/>
          <w:sz w:val="21"/>
          <w:szCs w:val="21"/>
          <w:highlight w:val="none"/>
          <w:lang w:val="en-US" w:eastAsia="zh-CN"/>
        </w:rPr>
        <w:t>对</w:t>
      </w:r>
      <w:r>
        <w:rPr>
          <w:rFonts w:hint="eastAsia" w:ascii="Times New Roman" w:hAnsi="Times New Roman" w:cstheme="minorBidi"/>
          <w:color w:val="auto"/>
          <w:sz w:val="21"/>
          <w:szCs w:val="21"/>
          <w:highlight w:val="none"/>
          <w:lang w:val="en-US" w:eastAsia="zh-CN"/>
        </w:rPr>
        <w:t>安徽环巢湖生态发展有限公司报废电梯</w:t>
      </w:r>
      <w:r>
        <w:rPr>
          <w:rFonts w:hint="eastAsia" w:ascii="Times New Roman" w:hAnsi="Times New Roman" w:eastAsiaTheme="minorEastAsia" w:cstheme="minorBidi"/>
          <w:color w:val="auto"/>
          <w:sz w:val="21"/>
          <w:szCs w:val="21"/>
          <w:highlight w:val="none"/>
          <w:lang w:val="en-US" w:eastAsia="zh-CN"/>
        </w:rPr>
        <w:t>资产进行评估，以便于确定资产交易底价，评估对象见附件，具体以现场实</w:t>
      </w:r>
      <w:r>
        <w:rPr>
          <w:rFonts w:hint="eastAsia" w:ascii="Times New Roman" w:hAnsi="Times New Roman" w:cstheme="minorBidi"/>
          <w:color w:val="auto"/>
          <w:sz w:val="21"/>
          <w:szCs w:val="21"/>
          <w:highlight w:val="none"/>
          <w:lang w:val="en-US" w:eastAsia="zh-CN"/>
        </w:rPr>
        <w:t>际为</w:t>
      </w:r>
      <w:r>
        <w:rPr>
          <w:rFonts w:hint="eastAsia" w:ascii="Times New Roman" w:hAnsi="Times New Roman" w:eastAsiaTheme="minorEastAsia" w:cstheme="minorBidi"/>
          <w:color w:val="auto"/>
          <w:sz w:val="21"/>
          <w:szCs w:val="21"/>
          <w:highlight w:val="none"/>
          <w:lang w:val="en-US" w:eastAsia="zh-CN"/>
        </w:rPr>
        <w:t>准</w:t>
      </w:r>
      <w:r>
        <w:rPr>
          <w:rFonts w:hint="eastAsia" w:ascii="Times New Roman" w:hAnsi="Times New Roman" w:cstheme="minorBidi"/>
          <w:color w:val="auto"/>
          <w:sz w:val="21"/>
          <w:szCs w:val="21"/>
          <w:highlight w:val="none"/>
          <w:lang w:val="en-US" w:eastAsia="zh-CN"/>
        </w:rPr>
        <w:t>，资产状态以投标人意见为准</w:t>
      </w:r>
      <w:r>
        <w:rPr>
          <w:rFonts w:hint="eastAsia" w:ascii="Times New Roman" w:hAnsi="Times New Roman" w:eastAsiaTheme="minorEastAsia" w:cstheme="minorBidi"/>
          <w:color w:val="auto"/>
          <w:sz w:val="21"/>
          <w:szCs w:val="21"/>
          <w:highlight w:val="none"/>
          <w:lang w:val="en-US" w:eastAsia="zh-CN"/>
        </w:rPr>
        <w:t>。</w:t>
      </w:r>
    </w:p>
    <w:bookmarkEnd w:id="7"/>
    <w:p w14:paraId="2C1B6735">
      <w:pPr>
        <w:spacing w:line="520" w:lineRule="exact"/>
        <w:ind w:firstLine="0" w:firstLineChars="0"/>
        <w:outlineLvl w:val="9"/>
        <w:rPr>
          <w:rFonts w:hint="eastAsia" w:asciiTheme="minorEastAsia" w:hAnsiTheme="minorEastAsia" w:cstheme="minorEastAsia"/>
          <w:b/>
          <w:sz w:val="21"/>
          <w:szCs w:val="21"/>
        </w:rPr>
      </w:pPr>
      <w:r>
        <w:rPr>
          <w:rFonts w:hint="eastAsia" w:asciiTheme="minorEastAsia" w:hAnsiTheme="minorEastAsia" w:cstheme="minorEastAsia"/>
          <w:b/>
          <w:sz w:val="21"/>
          <w:szCs w:val="21"/>
          <w:lang w:val="en-US" w:eastAsia="zh-CN"/>
        </w:rPr>
        <w:t>二、</w:t>
      </w:r>
      <w:r>
        <w:rPr>
          <w:rFonts w:hint="eastAsia" w:asciiTheme="minorEastAsia" w:hAnsiTheme="minorEastAsia" w:cstheme="minorEastAsia"/>
          <w:b/>
          <w:sz w:val="21"/>
          <w:szCs w:val="21"/>
        </w:rPr>
        <w:t>服务内容及要求</w:t>
      </w:r>
    </w:p>
    <w:p w14:paraId="69C7EF45">
      <w:pPr>
        <w:adjustRightInd/>
        <w:snapToGrid/>
        <w:spacing w:line="360" w:lineRule="auto"/>
        <w:ind w:firstLine="420" w:firstLineChars="200"/>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1、根据国家有关法规和行业规定，能够独立客观地进行鉴定评估。在签订委托合同，并且委托方提供完整的评估资料后，在约定时间内将评估报告书初稿报委托人审核并获取意见后72小时内出具评估报告。</w:t>
      </w:r>
    </w:p>
    <w:p w14:paraId="39ECAACB">
      <w:pPr>
        <w:adjustRightInd/>
        <w:snapToGrid/>
        <w:spacing w:line="360" w:lineRule="auto"/>
        <w:ind w:firstLine="420" w:firstLineChars="200"/>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2、投标人应当对被评估对象进行全面清查，根据委托方提供的资产清单，核实资产账面与实际是否相符，并据此作出鉴定。</w:t>
      </w:r>
    </w:p>
    <w:p w14:paraId="0E5BEFF0">
      <w:pPr>
        <w:adjustRightInd/>
        <w:snapToGrid/>
        <w:spacing w:line="360" w:lineRule="auto"/>
        <w:ind w:firstLine="420" w:firstLineChars="200"/>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3、投标人应充分根据资产原值、净值、新旧程度、重置成本、获利能力等因素选用合适的资产评估方法；并优先在持续使用的假设前提下，进行评估。</w:t>
      </w:r>
    </w:p>
    <w:p w14:paraId="58AD8CF8">
      <w:pPr>
        <w:adjustRightInd/>
        <w:snapToGrid/>
        <w:spacing w:line="360" w:lineRule="auto"/>
        <w:ind w:firstLine="420" w:firstLineChars="200"/>
        <w:rPr>
          <w:rFonts w:hint="eastAsia" w:ascii="Times New Roman" w:hAnsi="Times New Roman"/>
          <w:b w:val="0"/>
          <w:bCs w:val="0"/>
          <w:color w:val="auto"/>
          <w:sz w:val="21"/>
          <w:szCs w:val="21"/>
        </w:rPr>
      </w:pPr>
      <w:r>
        <w:rPr>
          <w:rFonts w:hint="eastAsia" w:ascii="Times New Roman" w:hAnsi="Times New Roman"/>
          <w:color w:val="auto"/>
          <w:sz w:val="21"/>
          <w:szCs w:val="21"/>
          <w:lang w:eastAsia="zh-CN"/>
        </w:rPr>
        <w:t>4、投标人出具的资产评估报告应当完整、齐全内容、格式符合《企业国有资产评估报告指南》(中评协〔2017〕42号)的规定。</w:t>
      </w:r>
    </w:p>
    <w:p w14:paraId="1494570E">
      <w:pPr>
        <w:spacing w:line="520" w:lineRule="exact"/>
        <w:ind w:firstLine="0" w:firstLineChars="0"/>
        <w:outlineLvl w:val="9"/>
        <w:rPr>
          <w:rFonts w:hint="eastAsia" w:asciiTheme="minorEastAsia" w:hAnsiTheme="minorEastAsia" w:cstheme="minorEastAsia"/>
          <w:b/>
          <w:sz w:val="21"/>
          <w:szCs w:val="21"/>
          <w:lang w:eastAsia="zh-CN"/>
        </w:rPr>
      </w:pPr>
      <w:r>
        <w:rPr>
          <w:rFonts w:hint="eastAsia" w:asciiTheme="minorEastAsia" w:hAnsiTheme="minorEastAsia" w:cstheme="minorEastAsia"/>
          <w:b/>
          <w:spacing w:val="0"/>
          <w:sz w:val="21"/>
          <w:szCs w:val="21"/>
          <w:lang w:val="en-US" w:eastAsia="zh-CN"/>
        </w:rPr>
        <w:t>三</w:t>
      </w:r>
      <w:r>
        <w:rPr>
          <w:rFonts w:hint="eastAsia" w:asciiTheme="minorEastAsia" w:hAnsiTheme="minorEastAsia" w:eastAsiaTheme="minorEastAsia" w:cstheme="minorEastAsia"/>
          <w:b/>
          <w:spacing w:val="0"/>
          <w:sz w:val="21"/>
          <w:szCs w:val="21"/>
          <w:lang w:val="en-US" w:eastAsia="zh-CN"/>
        </w:rPr>
        <w:t>、</w:t>
      </w:r>
      <w:r>
        <w:rPr>
          <w:rFonts w:hint="eastAsia" w:asciiTheme="minorEastAsia" w:hAnsiTheme="minorEastAsia" w:cstheme="minorEastAsia"/>
          <w:b/>
          <w:sz w:val="21"/>
          <w:szCs w:val="21"/>
          <w:lang w:val="en-US" w:eastAsia="zh-CN"/>
        </w:rPr>
        <w:t>服务期限</w:t>
      </w:r>
      <w:r>
        <w:rPr>
          <w:rFonts w:hint="eastAsia" w:asciiTheme="minorEastAsia" w:hAnsiTheme="minorEastAsia" w:cstheme="minorEastAsia"/>
          <w:b/>
          <w:sz w:val="21"/>
          <w:szCs w:val="21"/>
        </w:rPr>
        <w:t>要求</w:t>
      </w:r>
      <w:r>
        <w:rPr>
          <w:rFonts w:hint="eastAsia" w:asciiTheme="minorEastAsia" w:hAnsiTheme="minorEastAsia" w:cstheme="minorEastAsia"/>
          <w:b/>
          <w:sz w:val="21"/>
          <w:szCs w:val="21"/>
          <w:lang w:eastAsia="zh-CN"/>
        </w:rPr>
        <w:t>：</w:t>
      </w:r>
    </w:p>
    <w:p w14:paraId="575AC42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合同签订后，中标人自收到招标人通知之日起3个工作日内，完成资产评估工作，出具符合招标人要求的评估报告；若自合同签订之日起1年内，招标人未通知投标单位进行资产评估工作，则本项目自动终止，双方均不承担违约责任。</w:t>
      </w:r>
    </w:p>
    <w:p w14:paraId="38C430C2">
      <w:pPr>
        <w:spacing w:line="360" w:lineRule="auto"/>
        <w:ind w:firstLine="0" w:firstLineChars="0"/>
        <w:outlineLvl w:val="1"/>
        <w:rPr>
          <w:rFonts w:hint="eastAsia" w:asciiTheme="minorEastAsia" w:hAnsiTheme="minorEastAsia" w:cstheme="minorEastAsia"/>
          <w:b/>
          <w:sz w:val="21"/>
          <w:szCs w:val="21"/>
        </w:rPr>
      </w:pPr>
      <w:r>
        <w:rPr>
          <w:rFonts w:hint="eastAsia" w:asciiTheme="minorEastAsia" w:hAnsiTheme="minorEastAsia" w:cstheme="minorEastAsia"/>
          <w:b/>
          <w:sz w:val="21"/>
          <w:szCs w:val="21"/>
          <w:lang w:val="en-US" w:eastAsia="zh-CN"/>
        </w:rPr>
        <w:t>四、</w:t>
      </w:r>
      <w:r>
        <w:rPr>
          <w:rFonts w:hint="eastAsia" w:asciiTheme="minorEastAsia" w:hAnsiTheme="minorEastAsia" w:cstheme="minorEastAsia"/>
          <w:b/>
          <w:sz w:val="21"/>
          <w:szCs w:val="21"/>
        </w:rPr>
        <w:t>报价要求</w:t>
      </w:r>
    </w:p>
    <w:p w14:paraId="3E4F619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Theme="minorEastAsia" w:cstheme="minorBidi"/>
          <w:color w:val="auto"/>
          <w:spacing w:val="0"/>
          <w:sz w:val="21"/>
          <w:szCs w:val="21"/>
          <w:lang w:val="en-US" w:eastAsia="zh-CN"/>
        </w:rPr>
      </w:pPr>
      <w:r>
        <w:rPr>
          <w:rFonts w:hint="eastAsia" w:ascii="Times New Roman" w:hAnsi="Times New Roman" w:eastAsiaTheme="minorEastAsia" w:cstheme="minorBidi"/>
          <w:color w:val="auto"/>
          <w:spacing w:val="0"/>
          <w:sz w:val="21"/>
          <w:szCs w:val="21"/>
          <w:lang w:val="en-US" w:eastAsia="zh-CN"/>
        </w:rPr>
        <w:t>1、本项目采用总价报价，投标单位报投标总价</w:t>
      </w:r>
      <w:r>
        <w:rPr>
          <w:rFonts w:hint="eastAsia" w:ascii="Times New Roman" w:hAnsi="Times New Roman" w:cstheme="minorBidi"/>
          <w:color w:val="auto"/>
          <w:spacing w:val="0"/>
          <w:sz w:val="21"/>
          <w:szCs w:val="21"/>
          <w:lang w:val="en-US" w:eastAsia="zh-CN"/>
        </w:rPr>
        <w:t>不得高于项目概算金额</w:t>
      </w:r>
      <w:r>
        <w:rPr>
          <w:rFonts w:hint="eastAsia" w:ascii="Times New Roman" w:hAnsi="Times New Roman" w:eastAsiaTheme="minorEastAsia" w:cstheme="minorBidi"/>
          <w:color w:val="auto"/>
          <w:spacing w:val="0"/>
          <w:sz w:val="21"/>
          <w:szCs w:val="21"/>
          <w:lang w:val="en-US" w:eastAsia="zh-CN"/>
        </w:rPr>
        <w:t>，该总价包括但不限于投标单位的人工费、</w:t>
      </w:r>
      <w:r>
        <w:rPr>
          <w:rFonts w:hint="eastAsia" w:ascii="Times New Roman" w:hAnsi="Times New Roman" w:cstheme="minorBidi"/>
          <w:color w:val="auto"/>
          <w:spacing w:val="0"/>
          <w:sz w:val="21"/>
          <w:szCs w:val="21"/>
          <w:lang w:val="en-US" w:eastAsia="zh-CN"/>
        </w:rPr>
        <w:t>评估费、</w:t>
      </w:r>
      <w:r>
        <w:rPr>
          <w:rFonts w:hint="eastAsia" w:ascii="Times New Roman" w:hAnsi="Times New Roman" w:eastAsiaTheme="minorEastAsia" w:cstheme="minorBidi"/>
          <w:color w:val="auto"/>
          <w:spacing w:val="0"/>
          <w:sz w:val="21"/>
          <w:szCs w:val="21"/>
          <w:lang w:val="en-US" w:eastAsia="zh-CN"/>
        </w:rPr>
        <w:t>保险费、福利费、审计费、利润、税金及完成项目应有的全部费用。以投标总价作为评标依据，报价相同的，</w:t>
      </w:r>
      <w:bookmarkStart w:id="8" w:name="_Hlk514735510"/>
      <w:r>
        <w:rPr>
          <w:rFonts w:hint="eastAsia" w:ascii="Times New Roman" w:hAnsi="Times New Roman" w:eastAsiaTheme="minorEastAsia" w:cstheme="minorBidi"/>
          <w:color w:val="auto"/>
          <w:spacing w:val="0"/>
          <w:sz w:val="21"/>
          <w:szCs w:val="21"/>
          <w:lang w:val="en-US" w:eastAsia="zh-CN"/>
        </w:rPr>
        <w:t>则采取评标委员会抽签方式确定中标单位。</w:t>
      </w:r>
      <w:bookmarkEnd w:id="8"/>
    </w:p>
    <w:p w14:paraId="7D448C7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Theme="minorEastAsia" w:cstheme="minorBidi"/>
          <w:color w:val="auto"/>
          <w:spacing w:val="0"/>
          <w:sz w:val="21"/>
          <w:szCs w:val="21"/>
          <w:lang w:val="en-US" w:eastAsia="zh-CN"/>
        </w:rPr>
      </w:pPr>
      <w:r>
        <w:rPr>
          <w:rFonts w:hint="eastAsia" w:ascii="Times New Roman" w:hAnsi="Times New Roman" w:eastAsiaTheme="minorEastAsia" w:cstheme="minorBidi"/>
          <w:color w:val="auto"/>
          <w:spacing w:val="0"/>
          <w:sz w:val="21"/>
          <w:szCs w:val="21"/>
          <w:lang w:val="en-US" w:eastAsia="zh-CN"/>
        </w:rPr>
        <w:t>2、投标人需提前自行对项目现场和周围环境进行勘察，勘查现场所发生的费用由投标人自行承担。</w:t>
      </w:r>
    </w:p>
    <w:p w14:paraId="1E9D5CF1">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spacing w:val="6"/>
          <w:sz w:val="21"/>
          <w:szCs w:val="21"/>
          <w:lang w:val="en-US" w:eastAsia="zh-CN"/>
        </w:rPr>
        <w:t>3、</w:t>
      </w:r>
      <w:r>
        <w:rPr>
          <w:rFonts w:hint="eastAsia" w:asciiTheme="minorEastAsia" w:hAnsiTheme="minorEastAsia" w:cstheme="minorEastAsia"/>
          <w:spacing w:val="6"/>
          <w:sz w:val="21"/>
          <w:szCs w:val="21"/>
          <w:lang w:val="en-US" w:eastAsia="zh-CN"/>
        </w:rPr>
        <w:t>投标</w:t>
      </w:r>
      <w:r>
        <w:rPr>
          <w:rFonts w:hint="eastAsia" w:asciiTheme="minorEastAsia" w:hAnsiTheme="minorEastAsia" w:eastAsiaTheme="minorEastAsia" w:cstheme="minorEastAsia"/>
          <w:spacing w:val="6"/>
          <w:sz w:val="21"/>
          <w:szCs w:val="21"/>
          <w:lang w:val="en-US" w:eastAsia="zh-CN"/>
        </w:rPr>
        <w:t>总价包括本次评估全部内容及工期的成本、利润、税金、运输费、损耗等所有费用。</w:t>
      </w:r>
    </w:p>
    <w:p w14:paraId="55F5A584">
      <w:pPr>
        <w:spacing w:line="440" w:lineRule="exact"/>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投标报价总价不得高于项目概算。</w:t>
      </w:r>
    </w:p>
    <w:p w14:paraId="0C4496C4">
      <w:pPr>
        <w:spacing w:line="360" w:lineRule="auto"/>
        <w:outlineLvl w:val="1"/>
        <w:rPr>
          <w:rFonts w:hint="eastAsia" w:asciiTheme="minorEastAsia" w:hAnsiTheme="minorEastAsia" w:cstheme="minorEastAsia"/>
          <w:b/>
          <w:sz w:val="21"/>
          <w:szCs w:val="21"/>
        </w:rPr>
      </w:pPr>
      <w:r>
        <w:rPr>
          <w:rFonts w:hint="eastAsia" w:asciiTheme="minorEastAsia" w:hAnsiTheme="minorEastAsia" w:cstheme="minorEastAsia"/>
          <w:b/>
          <w:sz w:val="21"/>
          <w:szCs w:val="21"/>
          <w:lang w:val="en-US" w:eastAsia="zh-CN"/>
        </w:rPr>
        <w:t>五、</w:t>
      </w:r>
      <w:r>
        <w:rPr>
          <w:rFonts w:hint="eastAsia" w:asciiTheme="minorEastAsia" w:hAnsiTheme="minorEastAsia" w:cstheme="minorEastAsia"/>
          <w:b/>
          <w:sz w:val="21"/>
          <w:szCs w:val="21"/>
        </w:rPr>
        <w:t>付款方式</w:t>
      </w:r>
    </w:p>
    <w:p w14:paraId="55BA1D9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Theme="minorEastAsia" w:cstheme="minorBidi"/>
          <w:color w:val="auto"/>
          <w:spacing w:val="0"/>
          <w:sz w:val="21"/>
          <w:szCs w:val="21"/>
          <w:lang w:val="en-US" w:eastAsia="zh-CN"/>
        </w:rPr>
      </w:pPr>
      <w:r>
        <w:rPr>
          <w:rFonts w:hint="eastAsia" w:ascii="Times New Roman" w:hAnsi="Times New Roman" w:eastAsiaTheme="minorEastAsia" w:cstheme="minorBidi"/>
          <w:color w:val="auto"/>
          <w:spacing w:val="0"/>
          <w:sz w:val="21"/>
          <w:szCs w:val="21"/>
          <w:lang w:val="en-US" w:eastAsia="zh-CN"/>
        </w:rPr>
        <w:t>签订合同</w:t>
      </w:r>
      <w:r>
        <w:rPr>
          <w:rFonts w:hint="eastAsia" w:ascii="Times New Roman" w:hAnsi="Times New Roman" w:cstheme="minorBidi"/>
          <w:color w:val="auto"/>
          <w:spacing w:val="0"/>
          <w:sz w:val="21"/>
          <w:szCs w:val="21"/>
          <w:lang w:val="en-US" w:eastAsia="zh-CN"/>
        </w:rPr>
        <w:t>后</w:t>
      </w:r>
      <w:r>
        <w:rPr>
          <w:rFonts w:hint="eastAsia" w:ascii="Times New Roman" w:hAnsi="Times New Roman" w:eastAsiaTheme="minorEastAsia" w:cstheme="minorBidi"/>
          <w:color w:val="auto"/>
          <w:spacing w:val="0"/>
          <w:sz w:val="21"/>
          <w:szCs w:val="21"/>
          <w:lang w:val="en-US" w:eastAsia="zh-CN"/>
        </w:rPr>
        <w:t>，中标人完成全部评估并出具符合</w:t>
      </w:r>
      <w:r>
        <w:rPr>
          <w:rFonts w:hint="eastAsia" w:ascii="Times New Roman" w:hAnsi="Times New Roman" w:cstheme="minorBidi"/>
          <w:color w:val="auto"/>
          <w:spacing w:val="0"/>
          <w:sz w:val="21"/>
          <w:szCs w:val="21"/>
          <w:lang w:val="en-US" w:eastAsia="zh-CN"/>
        </w:rPr>
        <w:t>招标</w:t>
      </w:r>
      <w:r>
        <w:rPr>
          <w:rFonts w:hint="eastAsia" w:ascii="Times New Roman" w:hAnsi="Times New Roman" w:eastAsiaTheme="minorEastAsia" w:cstheme="minorBidi"/>
          <w:color w:val="auto"/>
          <w:spacing w:val="0"/>
          <w:sz w:val="21"/>
          <w:szCs w:val="21"/>
          <w:lang w:val="en-US" w:eastAsia="zh-CN"/>
        </w:rPr>
        <w:t>人要求的评估报告后30日内一次性支付评估费用。</w:t>
      </w:r>
    </w:p>
    <w:p w14:paraId="56EF403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Theme="minorEastAsia" w:cstheme="minorBidi"/>
          <w:color w:val="auto"/>
          <w:spacing w:val="0"/>
          <w:sz w:val="21"/>
          <w:szCs w:val="21"/>
          <w:lang w:val="en-US" w:eastAsia="zh-CN"/>
        </w:rPr>
      </w:pPr>
      <w:r>
        <w:rPr>
          <w:rFonts w:hint="eastAsia" w:ascii="Times New Roman" w:hAnsi="Times New Roman" w:eastAsiaTheme="minorEastAsia" w:cstheme="minorBidi"/>
          <w:color w:val="auto"/>
          <w:spacing w:val="0"/>
          <w:sz w:val="21"/>
          <w:szCs w:val="21"/>
          <w:lang w:val="en-US" w:eastAsia="zh-CN"/>
        </w:rPr>
        <w:t>注：（1）在招标人付款前，中标人需向招标人交付等额的增值税专用发票，否则招标人有权拒绝或者延迟付款，且不承担违约责任。</w:t>
      </w:r>
    </w:p>
    <w:p w14:paraId="733AA21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Theme="minorEastAsia"/>
          <w:color w:val="auto"/>
          <w:spacing w:val="0"/>
          <w:sz w:val="21"/>
          <w:szCs w:val="21"/>
          <w:lang w:val="en-US" w:eastAsia="zh-CN"/>
        </w:rPr>
      </w:pPr>
      <w:r>
        <w:rPr>
          <w:rFonts w:hint="eastAsia" w:ascii="Times New Roman" w:hAnsi="Times New Roman" w:eastAsiaTheme="minorEastAsia" w:cstheme="minorBidi"/>
          <w:color w:val="auto"/>
          <w:spacing w:val="0"/>
          <w:sz w:val="21"/>
          <w:szCs w:val="21"/>
          <w:lang w:val="en-US" w:eastAsia="zh-CN"/>
        </w:rPr>
        <w:t>（2）投标人提交的投标文件中如有关于付款条件的表述与询价文件规定不符，投标无效。</w:t>
      </w:r>
    </w:p>
    <w:p w14:paraId="6AC0B415">
      <w:pPr>
        <w:spacing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10067E9C">
      <w:pPr>
        <w:spacing w:line="360" w:lineRule="auto"/>
        <w:jc w:val="center"/>
        <w:outlineLvl w:val="1"/>
        <w:rPr>
          <w:rFonts w:ascii="Times New Roman" w:hAnsi="Times New Roman" w:cs="Times New Roman" w:eastAsiaTheme="minorEastAsia"/>
          <w:b/>
          <w:sz w:val="28"/>
        </w:rPr>
      </w:pPr>
      <w:bookmarkStart w:id="9" w:name="_Toc17615"/>
      <w:r>
        <w:rPr>
          <w:rFonts w:ascii="Times New Roman" w:hAnsi="Times New Roman" w:cs="Times New Roman" w:eastAsiaTheme="minorEastAsia"/>
          <w:b/>
          <w:sz w:val="28"/>
        </w:rPr>
        <w:t>第四章  评审方法和标准</w:t>
      </w:r>
      <w:bookmarkEnd w:id="9"/>
    </w:p>
    <w:p w14:paraId="3B0502C2">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14:paraId="7438B4F2">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14:paraId="6B81A423">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14:paraId="0466AA62">
      <w:pPr>
        <w:spacing w:line="360" w:lineRule="auto"/>
        <w:ind w:firstLine="420" w:firstLineChars="200"/>
        <w:rPr>
          <w:rFonts w:ascii="Times New Roman" w:hAnsi="Times New Roman" w:cs="Times New Roman" w:eastAsiaTheme="minorEastAsia"/>
          <w:szCs w:val="16"/>
        </w:rPr>
      </w:pPr>
      <w:bookmarkStart w:id="10"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14:paraId="5E1F51A0">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14:paraId="77F115BB">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14:paraId="7BB3A365">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14:paraId="069EC93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14:paraId="2BF73A8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14:paraId="01F12C4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14:paraId="18B78A4F">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14:paraId="48F6BCD7">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14:paraId="6F26710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0908E571">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14:paraId="102B41A0">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14:paraId="48D4C592">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2"/>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919"/>
        <w:gridCol w:w="5504"/>
      </w:tblGrid>
      <w:tr w14:paraId="498A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6" w:type="pct"/>
            <w:tcBorders>
              <w:bottom w:val="single" w:color="auto" w:sz="4" w:space="0"/>
            </w:tcBorders>
            <w:vAlign w:val="center"/>
          </w:tcPr>
          <w:p w14:paraId="1B34ED5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11" w:name="_Hlk16461707"/>
            <w:r>
              <w:rPr>
                <w:rFonts w:ascii="Times New Roman" w:hAnsi="Times New Roman" w:cs="Times New Roman" w:eastAsiaTheme="minorEastAsia"/>
                <w:szCs w:val="21"/>
              </w:rPr>
              <w:t>序号</w:t>
            </w:r>
          </w:p>
        </w:tc>
        <w:tc>
          <w:tcPr>
            <w:tcW w:w="1159" w:type="pct"/>
            <w:tcBorders>
              <w:bottom w:val="single" w:color="auto" w:sz="4" w:space="0"/>
            </w:tcBorders>
            <w:vAlign w:val="center"/>
          </w:tcPr>
          <w:p w14:paraId="2478FDBE">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4" w:type="pct"/>
            <w:tcBorders>
              <w:bottom w:val="single" w:color="auto" w:sz="4" w:space="0"/>
            </w:tcBorders>
            <w:vAlign w:val="center"/>
          </w:tcPr>
          <w:p w14:paraId="26548A77">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14:paraId="04D2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6" w:type="pct"/>
            <w:tcBorders>
              <w:bottom w:val="single" w:color="auto" w:sz="4" w:space="0"/>
            </w:tcBorders>
            <w:vAlign w:val="center"/>
          </w:tcPr>
          <w:p w14:paraId="0B7ADAAC">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59" w:type="pct"/>
            <w:tcBorders>
              <w:bottom w:val="single" w:color="auto" w:sz="4" w:space="0"/>
            </w:tcBorders>
            <w:vAlign w:val="center"/>
          </w:tcPr>
          <w:p w14:paraId="75F6DE73">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324" w:type="pct"/>
            <w:tcBorders>
              <w:bottom w:val="single" w:color="auto" w:sz="4" w:space="0"/>
            </w:tcBorders>
            <w:vAlign w:val="center"/>
          </w:tcPr>
          <w:p w14:paraId="291C9503">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14:paraId="74BB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6" w:type="pct"/>
            <w:vAlign w:val="center"/>
          </w:tcPr>
          <w:p w14:paraId="16C4D2E1">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c>
          <w:tcPr>
            <w:tcW w:w="1159" w:type="pct"/>
            <w:vAlign w:val="center"/>
          </w:tcPr>
          <w:p w14:paraId="7E0F3B95">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4" w:type="pct"/>
            <w:vAlign w:val="center"/>
          </w:tcPr>
          <w:p w14:paraId="5F43A695">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14:paraId="36B3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6" w:type="pct"/>
            <w:vAlign w:val="center"/>
          </w:tcPr>
          <w:p w14:paraId="1CB60DBC">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3</w:t>
            </w:r>
          </w:p>
        </w:tc>
        <w:tc>
          <w:tcPr>
            <w:tcW w:w="1159" w:type="pct"/>
            <w:vAlign w:val="center"/>
          </w:tcPr>
          <w:p w14:paraId="61C19BC9">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4" w:type="pct"/>
            <w:vAlign w:val="center"/>
          </w:tcPr>
          <w:p w14:paraId="17A3D27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14:paraId="44CE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6" w:type="pct"/>
            <w:vAlign w:val="center"/>
          </w:tcPr>
          <w:p w14:paraId="367A2459">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4</w:t>
            </w:r>
          </w:p>
        </w:tc>
        <w:tc>
          <w:tcPr>
            <w:tcW w:w="1159" w:type="pct"/>
            <w:vAlign w:val="center"/>
          </w:tcPr>
          <w:p w14:paraId="1CD6720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询价文件获取情况</w:t>
            </w:r>
          </w:p>
        </w:tc>
        <w:tc>
          <w:tcPr>
            <w:tcW w:w="3324" w:type="pct"/>
            <w:vAlign w:val="center"/>
          </w:tcPr>
          <w:p w14:paraId="356CC385">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在询价文件获取截止时间前完成询价文件获取</w:t>
            </w:r>
          </w:p>
        </w:tc>
      </w:tr>
      <w:tr w14:paraId="7FF4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pct"/>
            <w:vAlign w:val="center"/>
          </w:tcPr>
          <w:p w14:paraId="56E2F4AC">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w:t>
            </w:r>
          </w:p>
        </w:tc>
        <w:tc>
          <w:tcPr>
            <w:tcW w:w="1159" w:type="pct"/>
            <w:vAlign w:val="center"/>
          </w:tcPr>
          <w:p w14:paraId="6340C0AE">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授权书</w:t>
            </w:r>
          </w:p>
        </w:tc>
        <w:tc>
          <w:tcPr>
            <w:tcW w:w="3324" w:type="pct"/>
            <w:vAlign w:val="center"/>
          </w:tcPr>
          <w:p w14:paraId="0DB48626">
            <w:pPr>
              <w:adjustRightInd w:val="0"/>
              <w:snapToGrid w:val="0"/>
              <w:spacing w:line="240" w:lineRule="auto"/>
              <w:ind w:right="-10" w:rightChars="0"/>
              <w:jc w:val="left"/>
              <w:rPr>
                <w:rFonts w:ascii="Calibri" w:hAnsi="Calibri" w:cs="Times New Roman" w:eastAsiaTheme="minorEastAsia"/>
                <w:kern w:val="2"/>
                <w:sz w:val="21"/>
                <w:szCs w:val="21"/>
                <w:lang w:val="en-US" w:eastAsia="zh-CN" w:bidi="ar-SA"/>
              </w:rPr>
            </w:pPr>
            <w:r>
              <w:rPr>
                <w:rFonts w:hint="eastAsia" w:cs="Times New Roman"/>
                <w:kern w:val="2"/>
                <w:sz w:val="21"/>
                <w:szCs w:val="21"/>
              </w:rPr>
              <w:t>符合</w:t>
            </w:r>
            <w:r>
              <w:rPr>
                <w:rFonts w:hint="eastAsia" w:ascii="Times New Roman" w:hAnsi="Times New Roman" w:cs="Times New Roman" w:eastAsiaTheme="minorEastAsia"/>
                <w:sz w:val="21"/>
                <w:szCs w:val="21"/>
                <w:lang w:eastAsia="zh-CN"/>
              </w:rPr>
              <w:t>询价</w:t>
            </w:r>
            <w:r>
              <w:rPr>
                <w:rFonts w:hint="eastAsia" w:cs="Times New Roman"/>
                <w:kern w:val="2"/>
                <w:sz w:val="21"/>
                <w:szCs w:val="21"/>
              </w:rPr>
              <w:t>文件要求。</w:t>
            </w:r>
          </w:p>
        </w:tc>
      </w:tr>
      <w:tr w14:paraId="3218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pct"/>
            <w:vAlign w:val="center"/>
          </w:tcPr>
          <w:p w14:paraId="26875FB4">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6</w:t>
            </w:r>
          </w:p>
        </w:tc>
        <w:tc>
          <w:tcPr>
            <w:tcW w:w="1159" w:type="pct"/>
            <w:vAlign w:val="center"/>
          </w:tcPr>
          <w:p w14:paraId="2D9C03A4">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3324" w:type="pct"/>
            <w:vAlign w:val="center"/>
          </w:tcPr>
          <w:p w14:paraId="2D791822">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14:paraId="7374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6618A19F">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14:paraId="19EDE152">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w:t>
            </w:r>
            <w:r>
              <w:rPr>
                <w:rFonts w:hint="eastAsia" w:ascii="Times New Roman" w:hAnsi="Times New Roman" w:cs="Times New Roman"/>
                <w:szCs w:val="21"/>
                <w:lang w:eastAsia="zh-CN"/>
              </w:rPr>
              <w:t>效投</w:t>
            </w:r>
            <w:r>
              <w:rPr>
                <w:rFonts w:ascii="Times New Roman" w:hAnsi="Times New Roman" w:cs="Times New Roman" w:eastAsiaTheme="minorEastAsia"/>
                <w:szCs w:val="21"/>
              </w:rPr>
              <w:t>标进行评审，未列入上表中的指标不得作为否决投标依据。符合评审指标通过标准的，为有效投标。</w:t>
            </w:r>
          </w:p>
        </w:tc>
      </w:tr>
      <w:bookmarkEnd w:id="10"/>
      <w:bookmarkEnd w:id="11"/>
    </w:tbl>
    <w:p w14:paraId="3BD97E86">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14:paraId="67744EA0">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14:paraId="15795769">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w:t>
      </w:r>
      <w:r>
        <w:rPr>
          <w:rFonts w:hint="eastAsia" w:ascii="Times New Roman" w:hAnsi="Times New Roman" w:cs="Times New Roman"/>
          <w:szCs w:val="16"/>
          <w:lang w:val="en-US" w:eastAsia="zh-CN"/>
        </w:rPr>
        <w:t>抽签</w:t>
      </w:r>
      <w:r>
        <w:rPr>
          <w:rFonts w:ascii="Times New Roman" w:hAnsi="Times New Roman" w:cs="Times New Roman" w:eastAsiaTheme="minorEastAsia"/>
          <w:szCs w:val="16"/>
        </w:rPr>
        <w:t>的方式确定中标人。</w:t>
      </w:r>
    </w:p>
    <w:p w14:paraId="40B937C0">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14:paraId="2AC1DE74">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0F39B22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14:paraId="4C0C39F8">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07ED62F6">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14:paraId="543DBD1E">
      <w:pPr>
        <w:adjustRightInd w:val="0"/>
        <w:snapToGrid w:val="0"/>
        <w:spacing w:line="360" w:lineRule="auto"/>
        <w:ind w:left="0" w:firstLine="0" w:firstLineChars="0"/>
        <w:jc w:val="center"/>
        <w:rPr>
          <w:rFonts w:hint="default"/>
          <w:b/>
          <w:color w:val="000000"/>
          <w:sz w:val="48"/>
          <w:szCs w:val="48"/>
          <w:lang w:val="en-US" w:eastAsia="zh-CN"/>
        </w:rPr>
      </w:pPr>
      <w:bookmarkStart w:id="12" w:name="_Toc28197"/>
      <w:r>
        <w:rPr>
          <w:rFonts w:hint="eastAsia"/>
          <w:b/>
          <w:color w:val="000000"/>
          <w:sz w:val="48"/>
          <w:szCs w:val="48"/>
          <w:lang w:val="en-US" w:eastAsia="zh-CN"/>
        </w:rPr>
        <w:t>安徽环巢湖生态发展有限公司报废电梯</w:t>
      </w:r>
    </w:p>
    <w:p w14:paraId="27808143">
      <w:pPr>
        <w:adjustRightInd w:val="0"/>
        <w:snapToGrid w:val="0"/>
        <w:spacing w:line="360" w:lineRule="auto"/>
        <w:ind w:left="0" w:firstLine="0" w:firstLineChars="0"/>
        <w:jc w:val="center"/>
        <w:rPr>
          <w:rFonts w:hint="eastAsia"/>
          <w:b/>
          <w:color w:val="000000"/>
          <w:sz w:val="48"/>
          <w:szCs w:val="48"/>
        </w:rPr>
      </w:pPr>
      <w:r>
        <w:rPr>
          <w:rFonts w:hint="eastAsia"/>
          <w:b/>
          <w:color w:val="000000"/>
          <w:sz w:val="48"/>
          <w:szCs w:val="48"/>
          <w:lang w:val="en-US" w:eastAsia="zh-CN"/>
        </w:rPr>
        <w:t>资产</w:t>
      </w:r>
      <w:r>
        <w:rPr>
          <w:rFonts w:hint="eastAsia"/>
          <w:b/>
          <w:color w:val="000000"/>
          <w:sz w:val="48"/>
          <w:szCs w:val="48"/>
        </w:rPr>
        <w:t>评估服务合同</w:t>
      </w:r>
    </w:p>
    <w:p w14:paraId="6736831E">
      <w:pPr>
        <w:rPr>
          <w:b/>
          <w:color w:val="000000"/>
          <w:sz w:val="52"/>
          <w:szCs w:val="52"/>
        </w:rPr>
      </w:pPr>
    </w:p>
    <w:p w14:paraId="0F20DFD0">
      <w:pPr>
        <w:widowControl/>
        <w:spacing w:before="109" w:line="440" w:lineRule="atLeast"/>
        <w:ind w:firstLine="640"/>
        <w:rPr>
          <w:rFonts w:ascii="黑体" w:hAnsi="Times New Roman" w:eastAsia="黑体"/>
          <w:color w:val="000000"/>
          <w:kern w:val="0"/>
          <w:sz w:val="32"/>
          <w:szCs w:val="32"/>
        </w:rPr>
      </w:pPr>
    </w:p>
    <w:p w14:paraId="24124685">
      <w:pPr>
        <w:ind w:firstLine="199" w:firstLineChars="95"/>
        <w:rPr>
          <w:rFonts w:ascii="宋体" w:hAnsi="宋体"/>
          <w:color w:val="000000"/>
        </w:rPr>
      </w:pPr>
    </w:p>
    <w:p w14:paraId="5005E648">
      <w:pPr>
        <w:ind w:firstLine="199" w:firstLineChars="95"/>
        <w:rPr>
          <w:rFonts w:ascii="宋体" w:hAnsi="宋体"/>
          <w:color w:val="000000"/>
        </w:rPr>
      </w:pPr>
    </w:p>
    <w:p w14:paraId="75B174BB">
      <w:pPr>
        <w:ind w:firstLine="199" w:firstLineChars="95"/>
        <w:rPr>
          <w:rFonts w:ascii="宋体" w:hAnsi="宋体"/>
          <w:color w:val="000000"/>
        </w:rPr>
      </w:pPr>
    </w:p>
    <w:p w14:paraId="1A078B4F">
      <w:pPr>
        <w:ind w:firstLine="199" w:firstLineChars="95"/>
        <w:rPr>
          <w:rFonts w:ascii="宋体" w:hAnsi="宋体"/>
          <w:color w:val="000000"/>
        </w:rPr>
      </w:pPr>
    </w:p>
    <w:p w14:paraId="6A380A6B">
      <w:pPr>
        <w:ind w:firstLine="199" w:firstLineChars="95"/>
        <w:rPr>
          <w:rFonts w:ascii="宋体" w:hAnsi="宋体"/>
          <w:color w:val="000000"/>
        </w:rPr>
      </w:pPr>
    </w:p>
    <w:p w14:paraId="7A7A62C5">
      <w:pPr>
        <w:ind w:firstLine="199" w:firstLineChars="95"/>
        <w:rPr>
          <w:rFonts w:ascii="宋体" w:hAnsi="宋体"/>
          <w:color w:val="000000"/>
        </w:rPr>
      </w:pPr>
    </w:p>
    <w:p w14:paraId="5BA6017E">
      <w:pPr>
        <w:ind w:firstLine="199" w:firstLineChars="95"/>
        <w:rPr>
          <w:rFonts w:ascii="宋体" w:hAnsi="宋体"/>
          <w:color w:val="000000"/>
        </w:rPr>
      </w:pPr>
    </w:p>
    <w:p w14:paraId="7DC62CED">
      <w:pPr>
        <w:ind w:firstLine="199" w:firstLineChars="95"/>
        <w:rPr>
          <w:rFonts w:ascii="宋体" w:hAnsi="宋体"/>
          <w:color w:val="000000"/>
        </w:rPr>
      </w:pPr>
    </w:p>
    <w:p w14:paraId="13699AF7">
      <w:pPr>
        <w:ind w:firstLine="199" w:firstLineChars="95"/>
        <w:rPr>
          <w:rFonts w:ascii="宋体" w:hAnsi="宋体"/>
          <w:color w:val="000000"/>
        </w:rPr>
      </w:pPr>
    </w:p>
    <w:p w14:paraId="3B4EB2AE">
      <w:pPr>
        <w:ind w:firstLine="199" w:firstLineChars="95"/>
        <w:rPr>
          <w:rFonts w:hint="eastAsia" w:ascii="宋体" w:hAnsi="宋体"/>
          <w:color w:val="000000"/>
        </w:rPr>
      </w:pPr>
    </w:p>
    <w:p w14:paraId="37A481C1">
      <w:pPr>
        <w:pStyle w:val="11"/>
        <w:ind w:firstLine="199" w:firstLineChars="95"/>
        <w:rPr>
          <w:rFonts w:ascii="宋体" w:hAnsi="宋体"/>
          <w:color w:val="000000"/>
        </w:rPr>
      </w:pPr>
    </w:p>
    <w:p w14:paraId="177A215F">
      <w:pPr>
        <w:jc w:val="left"/>
        <w:rPr>
          <w:rFonts w:hint="eastAsia" w:ascii="宋体" w:hAnsi="宋体"/>
          <w:color w:val="000000"/>
        </w:rPr>
      </w:pPr>
    </w:p>
    <w:p w14:paraId="64D17F76">
      <w:pPr>
        <w:jc w:val="left"/>
        <w:rPr>
          <w:rFonts w:ascii="宋体" w:hAnsi="宋体"/>
          <w:color w:val="000000"/>
        </w:rPr>
      </w:pPr>
    </w:p>
    <w:p w14:paraId="2BA223A1">
      <w:pPr>
        <w:ind w:firstLine="562" w:firstLineChars="200"/>
        <w:jc w:val="left"/>
        <w:rPr>
          <w:rFonts w:ascii="宋体" w:hAnsi="宋体"/>
          <w:b/>
          <w:color w:val="000000"/>
          <w:sz w:val="28"/>
          <w:szCs w:val="28"/>
        </w:rPr>
      </w:pPr>
      <w:r>
        <w:rPr>
          <w:rFonts w:hint="eastAsia" w:ascii="宋体" w:hAnsi="宋体"/>
          <w:b/>
          <w:color w:val="000000"/>
          <w:sz w:val="28"/>
          <w:szCs w:val="28"/>
        </w:rPr>
        <w:t>委托人：</w:t>
      </w:r>
      <w:r>
        <w:rPr>
          <w:rFonts w:hint="eastAsia" w:ascii="宋体" w:hAnsi="宋体"/>
          <w:color w:val="000000"/>
          <w:sz w:val="28"/>
          <w:szCs w:val="28"/>
          <w:lang w:val="en-US" w:eastAsia="zh-CN"/>
        </w:rPr>
        <w:t>安徽环巢湖生态发展</w:t>
      </w:r>
      <w:r>
        <w:rPr>
          <w:rFonts w:hint="eastAsia" w:ascii="宋体" w:hAnsi="宋体"/>
          <w:color w:val="000000"/>
          <w:sz w:val="28"/>
          <w:szCs w:val="28"/>
        </w:rPr>
        <w:t>有限公司</w:t>
      </w:r>
    </w:p>
    <w:p w14:paraId="4B8A41B5">
      <w:pPr>
        <w:ind w:firstLine="562" w:firstLineChars="200"/>
        <w:jc w:val="left"/>
        <w:rPr>
          <w:rFonts w:ascii="宋体" w:hAnsi="宋体"/>
          <w:color w:val="000000"/>
          <w:sz w:val="28"/>
          <w:szCs w:val="28"/>
          <w:u w:val="single"/>
        </w:rPr>
      </w:pPr>
      <w:r>
        <w:rPr>
          <w:rFonts w:hint="eastAsia" w:ascii="宋体" w:hAnsi="宋体"/>
          <w:b/>
          <w:color w:val="000000"/>
          <w:sz w:val="28"/>
          <w:szCs w:val="28"/>
        </w:rPr>
        <w:t>受托人：</w:t>
      </w:r>
    </w:p>
    <w:p w14:paraId="2FAAABAA">
      <w:pPr>
        <w:ind w:firstLine="551" w:firstLineChars="196"/>
        <w:jc w:val="left"/>
        <w:rPr>
          <w:rFonts w:ascii="宋体" w:hAnsi="宋体" w:cs="宋体"/>
          <w:color w:val="000000"/>
          <w:kern w:val="0"/>
          <w:sz w:val="20"/>
          <w:szCs w:val="20"/>
        </w:rPr>
      </w:pPr>
      <w:r>
        <w:rPr>
          <w:rFonts w:hint="eastAsia" w:ascii="宋体" w:hAnsi="宋体"/>
          <w:b/>
          <w:color w:val="000000"/>
          <w:sz w:val="28"/>
          <w:szCs w:val="28"/>
        </w:rPr>
        <w:t>合同编号：</w:t>
      </w:r>
      <w:r>
        <w:rPr>
          <w:rFonts w:hint="eastAsia" w:ascii="宋体" w:hAnsi="宋体"/>
          <w:color w:val="000000"/>
          <w:sz w:val="28"/>
          <w:szCs w:val="28"/>
          <w:lang w:val="en-US" w:eastAsia="zh-CN"/>
        </w:rPr>
        <w:t xml:space="preserve">                </w:t>
      </w:r>
      <w:r>
        <w:rPr>
          <w:rFonts w:hint="eastAsia" w:ascii="宋体" w:hAnsi="宋体"/>
          <w:color w:val="000000"/>
          <w:sz w:val="28"/>
          <w:szCs w:val="28"/>
        </w:rPr>
        <w:t>号</w:t>
      </w:r>
    </w:p>
    <w:p w14:paraId="0262EC2E">
      <w:pPr>
        <w:ind w:firstLine="562" w:firstLineChars="200"/>
        <w:rPr>
          <w:rFonts w:ascii="宋体" w:hAnsi="宋体"/>
          <w:b/>
          <w:color w:val="000000"/>
          <w:sz w:val="28"/>
          <w:szCs w:val="28"/>
          <w:u w:val="single"/>
        </w:rPr>
      </w:pPr>
    </w:p>
    <w:p w14:paraId="63DED809">
      <w:pPr>
        <w:sectPr>
          <w:footerReference r:id="rId4" w:type="default"/>
          <w:pgSz w:w="11906" w:h="16838"/>
          <w:pgMar w:top="1440" w:right="1800" w:bottom="1440" w:left="1800" w:header="851" w:footer="992" w:gutter="0"/>
          <w:pgNumType w:fmt="decimal" w:start="1"/>
          <w:cols w:space="425" w:num="1"/>
          <w:docGrid w:type="lines" w:linePitch="312" w:charSpace="0"/>
        </w:sectPr>
      </w:pPr>
    </w:p>
    <w:p w14:paraId="27E82232">
      <w:pPr>
        <w:spacing w:line="360" w:lineRule="auto"/>
        <w:ind w:firstLine="480" w:firstLineChars="200"/>
        <w:rPr>
          <w:rFonts w:ascii="宋体" w:hAnsi="宋体"/>
          <w:color w:val="000000"/>
          <w:sz w:val="24"/>
          <w:szCs w:val="24"/>
        </w:rPr>
        <w:sectPr>
          <w:type w:val="continuous"/>
          <w:pgSz w:w="11906" w:h="16838"/>
          <w:pgMar w:top="1440" w:right="1800" w:bottom="1440" w:left="1800" w:header="851" w:footer="992" w:gutter="0"/>
          <w:pgNumType w:fmt="decimal"/>
          <w:cols w:space="425" w:num="1"/>
          <w:docGrid w:type="lines" w:linePitch="312" w:charSpace="0"/>
        </w:sectPr>
      </w:pPr>
    </w:p>
    <w:p w14:paraId="43D3F04D">
      <w:pPr>
        <w:pStyle w:val="55"/>
        <w:spacing w:line="531" w:lineRule="exact"/>
        <w:ind w:left="0" w:leftChars="0" w:firstLine="0" w:firstLineChars="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lang w:val="en-US" w:eastAsia="zh-CN"/>
        </w:rPr>
        <w:t>评估</w:t>
      </w:r>
      <w:r>
        <w:rPr>
          <w:rFonts w:hint="eastAsia" w:asciiTheme="minorEastAsia" w:hAnsiTheme="minorEastAsia" w:eastAsiaTheme="minorEastAsia" w:cstheme="minorEastAsia"/>
          <w:b/>
          <w:kern w:val="0"/>
          <w:sz w:val="28"/>
          <w:szCs w:val="28"/>
        </w:rPr>
        <w:t>业务约定书</w:t>
      </w:r>
    </w:p>
    <w:p w14:paraId="6616E519">
      <w:pPr>
        <w:pStyle w:val="55"/>
        <w:spacing w:line="531" w:lineRule="exact"/>
        <w:ind w:left="0" w:leftChars="0" w:firstLine="0" w:firstLineChars="0"/>
        <w:jc w:val="right"/>
        <w:rPr>
          <w:rFonts w:hint="eastAsia" w:asciiTheme="minorEastAsia" w:hAnsiTheme="minorEastAsia" w:eastAsiaTheme="minorEastAsia" w:cstheme="minorEastAsia"/>
          <w:b w:val="0"/>
          <w:bCs/>
          <w:kern w:val="0"/>
          <w:sz w:val="21"/>
          <w:szCs w:val="21"/>
        </w:rPr>
      </w:pPr>
    </w:p>
    <w:p w14:paraId="64D35AC7">
      <w:pPr>
        <w:pStyle w:val="55"/>
        <w:keepNext w:val="0"/>
        <w:keepLines w:val="0"/>
        <w:pageBreakBefore w:val="0"/>
        <w:kinsoku/>
        <w:wordWrap/>
        <w:overflowPunct/>
        <w:topLinePunct w:val="0"/>
        <w:autoSpaceDE/>
        <w:autoSpaceDN/>
        <w:bidi w:val="0"/>
        <w:spacing w:line="520" w:lineRule="atLeast"/>
        <w:ind w:left="0" w:leftChars="0" w:firstLine="0" w:firstLineChars="0"/>
        <w:jc w:val="both"/>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委托方（甲方）：</w:t>
      </w:r>
      <w:r>
        <w:rPr>
          <w:rFonts w:hint="eastAsia" w:asciiTheme="minorEastAsia" w:hAnsiTheme="minorEastAsia" w:eastAsiaTheme="minorEastAsia" w:cstheme="minorEastAsia"/>
          <w:kern w:val="0"/>
          <w:sz w:val="21"/>
          <w:szCs w:val="21"/>
          <w:highlight w:val="none"/>
          <w:lang w:val="en-US" w:eastAsia="zh-CN"/>
        </w:rPr>
        <w:t>安徽环巢湖生态发展有限公司</w:t>
      </w:r>
    </w:p>
    <w:p w14:paraId="0339770B">
      <w:pPr>
        <w:pStyle w:val="55"/>
        <w:keepNext w:val="0"/>
        <w:keepLines w:val="0"/>
        <w:pageBreakBefore w:val="0"/>
        <w:kinsoku/>
        <w:wordWrap/>
        <w:overflowPunct/>
        <w:topLinePunct w:val="0"/>
        <w:autoSpaceDE/>
        <w:autoSpaceDN/>
        <w:bidi w:val="0"/>
        <w:spacing w:line="520" w:lineRule="atLeast"/>
        <w:ind w:left="0" w:leftChars="0" w:firstLine="0" w:firstLineChars="0"/>
        <w:jc w:val="both"/>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eastAsia="zh-CN"/>
        </w:rPr>
        <w:t>受托方（乙方）：</w:t>
      </w:r>
      <w:r>
        <w:rPr>
          <w:rFonts w:hint="eastAsia" w:asciiTheme="minorEastAsia" w:hAnsiTheme="minorEastAsia" w:eastAsiaTheme="minorEastAsia" w:cstheme="minorEastAsia"/>
          <w:kern w:val="0"/>
          <w:sz w:val="21"/>
          <w:szCs w:val="21"/>
          <w:highlight w:val="none"/>
          <w:lang w:val="en-US" w:eastAsia="zh-CN"/>
        </w:rPr>
        <w:t xml:space="preserve">    </w:t>
      </w:r>
    </w:p>
    <w:p w14:paraId="3EE8B8BD">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甲乙双方根据《中华人民共和国民法典》及《资产评估执业准则——资产评估委托合同》的规定，为明确双方的权利和义务，经双方协商同意签订本合同。</w:t>
      </w:r>
    </w:p>
    <w:p w14:paraId="1E6EBE61">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一、评估目的</w:t>
      </w:r>
      <w:r>
        <w:rPr>
          <w:rFonts w:hint="eastAsia" w:asciiTheme="minorEastAsia" w:hAnsiTheme="minorEastAsia" w:eastAsiaTheme="minorEastAsia" w:cstheme="minorEastAsia"/>
          <w:b/>
          <w:sz w:val="21"/>
          <w:szCs w:val="21"/>
          <w:lang w:eastAsia="zh-CN"/>
        </w:rPr>
        <w:t>：</w:t>
      </w:r>
      <w:r>
        <w:rPr>
          <w:rFonts w:hint="eastAsia" w:asciiTheme="minorEastAsia" w:hAnsiTheme="minorEastAsia" w:cstheme="minorEastAsia"/>
          <w:b w:val="0"/>
          <w:sz w:val="21"/>
          <w:szCs w:val="21"/>
          <w:lang w:val="en-US" w:eastAsia="zh-CN"/>
        </w:rPr>
        <w:t>安徽环巢湖生态发展有限公司报废电梯</w:t>
      </w:r>
      <w:r>
        <w:rPr>
          <w:rFonts w:hint="eastAsia" w:asciiTheme="minorEastAsia" w:hAnsiTheme="minorEastAsia" w:eastAsiaTheme="minorEastAsia" w:cstheme="minorEastAsia"/>
          <w:b w:val="0"/>
          <w:sz w:val="21"/>
          <w:szCs w:val="21"/>
          <w:lang w:eastAsia="zh-CN"/>
        </w:rPr>
        <w:t>资产</w:t>
      </w:r>
      <w:r>
        <w:rPr>
          <w:rFonts w:hint="eastAsia" w:asciiTheme="minorEastAsia" w:hAnsiTheme="minorEastAsia" w:cstheme="minorEastAsia"/>
          <w:b w:val="0"/>
          <w:sz w:val="21"/>
          <w:szCs w:val="21"/>
          <w:lang w:val="en-US" w:eastAsia="zh-CN"/>
        </w:rPr>
        <w:t>拟进行资产处置</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对该经济行为所涉及的资产于评估基准日的市场价值进行评估，</w:t>
      </w:r>
      <w:r>
        <w:rPr>
          <w:rFonts w:hint="eastAsia" w:asciiTheme="minorEastAsia" w:hAnsiTheme="minorEastAsia" w:eastAsiaTheme="minorEastAsia" w:cstheme="minorEastAsia"/>
          <w:sz w:val="21"/>
          <w:szCs w:val="21"/>
        </w:rPr>
        <w:t>本次评估为上述经济行为提供价值参考依据。</w:t>
      </w:r>
    </w:p>
    <w:p w14:paraId="0AC807CD">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sz w:val="21"/>
          <w:szCs w:val="21"/>
        </w:rPr>
        <w:t>二、评估对象和评估范围：</w:t>
      </w:r>
      <w:r>
        <w:rPr>
          <w:rFonts w:hint="eastAsia" w:asciiTheme="minorEastAsia" w:hAnsiTheme="minorEastAsia" w:eastAsiaTheme="minorEastAsia" w:cstheme="minorEastAsia"/>
          <w:sz w:val="21"/>
          <w:szCs w:val="21"/>
          <w:lang w:val="en-US" w:eastAsia="zh-CN"/>
        </w:rPr>
        <w:t>评估对象为</w:t>
      </w:r>
      <w:r>
        <w:rPr>
          <w:rFonts w:hint="eastAsia" w:asciiTheme="minorEastAsia" w:hAnsiTheme="minorEastAsia" w:cstheme="minorEastAsia"/>
          <w:b w:val="0"/>
          <w:sz w:val="21"/>
          <w:szCs w:val="21"/>
          <w:lang w:val="en-US" w:eastAsia="zh-CN"/>
        </w:rPr>
        <w:t>安徽环巢湖生态发展有限公司报废电梯</w:t>
      </w:r>
      <w:r>
        <w:rPr>
          <w:rFonts w:hint="eastAsia" w:asciiTheme="minorEastAsia" w:hAnsiTheme="minorEastAsia" w:eastAsiaTheme="minorEastAsia" w:cstheme="minorEastAsia"/>
          <w:sz w:val="21"/>
          <w:szCs w:val="21"/>
          <w:lang w:val="en-US" w:eastAsia="zh-CN"/>
        </w:rPr>
        <w:t>资产评估；评估范围为</w:t>
      </w:r>
      <w:r>
        <w:rPr>
          <w:rFonts w:hint="eastAsia" w:asciiTheme="minorEastAsia" w:hAnsiTheme="minorEastAsia" w:cstheme="minorEastAsia"/>
          <w:sz w:val="21"/>
          <w:szCs w:val="21"/>
          <w:lang w:val="en-US" w:eastAsia="zh-CN"/>
        </w:rPr>
        <w:t>报废电梯</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cstheme="minorEastAsia"/>
          <w:sz w:val="21"/>
          <w:szCs w:val="21"/>
          <w:lang w:val="en-US" w:eastAsia="zh-CN"/>
        </w:rPr>
        <w:t>资产，详见附件，具体以现场实际为准</w:t>
      </w:r>
      <w:r>
        <w:rPr>
          <w:rFonts w:hint="eastAsia" w:asciiTheme="minorEastAsia" w:hAnsiTheme="minorEastAsia" w:eastAsiaTheme="minorEastAsia" w:cstheme="minorEastAsia"/>
          <w:sz w:val="21"/>
          <w:szCs w:val="21"/>
          <w:lang w:val="en-US" w:eastAsia="zh-CN"/>
        </w:rPr>
        <w:t>。</w:t>
      </w:r>
    </w:p>
    <w:p w14:paraId="2B212AB6">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sz w:val="21"/>
          <w:szCs w:val="21"/>
        </w:rPr>
        <w:t>三、评估基准日</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 xml:space="preserve">年 </w:t>
      </w: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 xml:space="preserve">  月  </w:t>
      </w:r>
      <w:r>
        <w:rPr>
          <w:rFonts w:hint="eastAsia" w:asciiTheme="minorEastAsia" w:hAnsiTheme="minorEastAsia" w:cstheme="minorEastAsia"/>
          <w:sz w:val="21"/>
          <w:szCs w:val="21"/>
          <w:lang w:val="en-US" w:eastAsia="zh-CN"/>
        </w:rPr>
        <w:t>31</w:t>
      </w:r>
      <w:r>
        <w:rPr>
          <w:rFonts w:hint="eastAsia" w:asciiTheme="minorEastAsia" w:hAnsiTheme="minorEastAsia" w:eastAsiaTheme="minorEastAsia" w:cstheme="minorEastAsia"/>
          <w:sz w:val="21"/>
          <w:szCs w:val="21"/>
          <w:lang w:val="en-US" w:eastAsia="zh-CN"/>
        </w:rPr>
        <w:t xml:space="preserve"> 日</w:t>
      </w:r>
    </w:p>
    <w:p w14:paraId="56E9DEA8">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四、资产评估报告</w:t>
      </w:r>
      <w:r>
        <w:rPr>
          <w:rFonts w:hint="eastAsia" w:asciiTheme="minorEastAsia" w:hAnsiTheme="minorEastAsia" w:eastAsiaTheme="minorEastAsia" w:cstheme="minorEastAsia"/>
          <w:b/>
          <w:sz w:val="21"/>
          <w:szCs w:val="21"/>
          <w:lang w:eastAsia="zh-CN"/>
        </w:rPr>
        <w:t>适</w:t>
      </w:r>
      <w:r>
        <w:rPr>
          <w:rFonts w:hint="eastAsia" w:asciiTheme="minorEastAsia" w:hAnsiTheme="minorEastAsia" w:eastAsiaTheme="minorEastAsia" w:cstheme="minorEastAsia"/>
          <w:b/>
          <w:sz w:val="21"/>
          <w:szCs w:val="21"/>
        </w:rPr>
        <w:t>用范围：</w:t>
      </w:r>
    </w:p>
    <w:p w14:paraId="1518AEB0">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1、资产评估报告仅供甲方和法律、行政法规规定的使用</w:t>
      </w:r>
      <w:r>
        <w:rPr>
          <w:rFonts w:hint="eastAsia" w:asciiTheme="minorEastAsia" w:hAnsiTheme="minorEastAsia" w:eastAsiaTheme="minorEastAsia" w:cstheme="minorEastAsia"/>
          <w:sz w:val="21"/>
          <w:szCs w:val="21"/>
          <w:highlight w:val="none"/>
        </w:rPr>
        <w:t>人使用，</w:t>
      </w:r>
      <w:r>
        <w:rPr>
          <w:rFonts w:hint="eastAsia" w:asciiTheme="minorEastAsia" w:hAnsiTheme="minorEastAsia" w:eastAsiaTheme="minorEastAsia" w:cstheme="minorEastAsia"/>
          <w:sz w:val="21"/>
          <w:szCs w:val="21"/>
          <w:highlight w:val="none"/>
          <w:lang w:val="en-US" w:eastAsia="zh-CN"/>
        </w:rPr>
        <w:t>甲方可以授权其他第三方单位使用本资产评估报告，除此之外，</w:t>
      </w:r>
      <w:r>
        <w:rPr>
          <w:rFonts w:hint="eastAsia" w:asciiTheme="minorEastAsia" w:hAnsiTheme="minorEastAsia" w:eastAsiaTheme="minorEastAsia" w:cstheme="minorEastAsia"/>
          <w:sz w:val="21"/>
          <w:szCs w:val="21"/>
          <w:highlight w:val="none"/>
        </w:rPr>
        <w:t>其他任何机构和个人不能成为资产评估报告使用人。</w:t>
      </w:r>
    </w:p>
    <w:p w14:paraId="6D5292BD">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及其他资产评估报告使用人应按照法律、行政法规的规定和资产评估报告载明的使用目的及用途使用资产评估报告。甲方或其他资产评估报告使用人违反前述约定使用资产评估报告的，乙方及其专业人员不承担责任。</w:t>
      </w:r>
    </w:p>
    <w:p w14:paraId="4AD6CB3E">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3、甲方及其他资产评估报告使用人应当在资产评估报告载明的评估结论使用有效期内使用资产评估报告。</w:t>
      </w:r>
    </w:p>
    <w:p w14:paraId="5AD7E115">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4、未经甲方书面许可，乙方及其专业人员不得将资产评估报告的内容向第三方提供或公开，法律、行政法规另有规定的除外。</w:t>
      </w:r>
    </w:p>
    <w:p w14:paraId="58E52CB7">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5、未征得乙方同意，甲方及其他资产评估报告使用人不得将资产评估报告的内容摘抄、引用或者披露于公开媒体，法律、行政法规规定以及相关当事人另有约定的除外。</w:t>
      </w:r>
    </w:p>
    <w:p w14:paraId="3C747DAC">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五、资产评估报告提交期限和方式</w:t>
      </w:r>
      <w:r>
        <w:rPr>
          <w:rFonts w:hint="eastAsia" w:asciiTheme="minorEastAsia" w:hAnsiTheme="minorEastAsia" w:eastAsiaTheme="minorEastAsia" w:cstheme="minorEastAsia"/>
          <w:b/>
          <w:sz w:val="21"/>
          <w:szCs w:val="21"/>
          <w:lang w:eastAsia="zh-CN"/>
        </w:rPr>
        <w:t>：</w:t>
      </w:r>
    </w:p>
    <w:p w14:paraId="5AF97E55">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1、提交期限：自甲方和其他相关当事人完全、如实地提供乙方评估所需所有资料后，</w:t>
      </w:r>
      <w:r>
        <w:rPr>
          <w:rFonts w:hint="eastAsia" w:asciiTheme="minorEastAsia" w:hAnsiTheme="minorEastAsia" w:eastAsiaTheme="minorEastAsia" w:cstheme="minorEastAsia"/>
          <w:sz w:val="21"/>
          <w:szCs w:val="21"/>
          <w:highlight w:val="none"/>
          <w:lang w:val="en-US" w:eastAsia="zh-CN"/>
        </w:rPr>
        <w:t>在约定时间内将评估报告书初稿报甲方审核，在获取甲方意见后72小时内出具正式评估报告；但自受托之日起，正式评估报告出具时间不得超过7个工作日。</w:t>
      </w:r>
    </w:p>
    <w:p w14:paraId="36C38044">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2、提交方式：资产评估报告的电子版及纸质版</w:t>
      </w:r>
      <w:r>
        <w:rPr>
          <w:rFonts w:hint="eastAsia" w:asciiTheme="minorEastAsia" w:hAnsiTheme="minorEastAsia" w:eastAsiaTheme="minorEastAsia" w:cstheme="minorEastAsia"/>
          <w:sz w:val="21"/>
          <w:szCs w:val="21"/>
          <w:highlight w:val="none"/>
          <w:lang w:val="en-US" w:eastAsia="zh-CN"/>
        </w:rPr>
        <w:t>一式</w:t>
      </w:r>
      <w:r>
        <w:rPr>
          <w:rFonts w:hint="eastAsia" w:asciiTheme="minorEastAsia" w:hAnsiTheme="minorEastAsia" w:cstheme="minorEastAsia"/>
          <w:sz w:val="21"/>
          <w:szCs w:val="21"/>
          <w:highlight w:val="none"/>
          <w:lang w:val="en-US" w:eastAsia="zh-CN"/>
        </w:rPr>
        <w:t>肆</w:t>
      </w:r>
      <w:r>
        <w:rPr>
          <w:rFonts w:hint="eastAsia" w:asciiTheme="minorEastAsia" w:hAnsiTheme="minorEastAsia" w:eastAsiaTheme="minorEastAsia" w:cstheme="minorEastAsia"/>
          <w:sz w:val="21"/>
          <w:szCs w:val="21"/>
          <w:highlight w:val="none"/>
          <w:lang w:val="en-US" w:eastAsia="zh-CN"/>
        </w:rPr>
        <w:t>份</w:t>
      </w:r>
      <w:r>
        <w:rPr>
          <w:rFonts w:hint="eastAsia" w:asciiTheme="minorEastAsia" w:hAnsiTheme="minorEastAsia" w:eastAsiaTheme="minorEastAsia" w:cstheme="minorEastAsia"/>
          <w:sz w:val="21"/>
          <w:szCs w:val="21"/>
          <w:highlight w:val="none"/>
        </w:rPr>
        <w:t>，邮寄或</w:t>
      </w:r>
      <w:r>
        <w:rPr>
          <w:rFonts w:hint="eastAsia" w:asciiTheme="minorEastAsia" w:hAnsiTheme="minorEastAsia" w:eastAsiaTheme="minorEastAsia" w:cstheme="minorEastAsia"/>
          <w:sz w:val="21"/>
          <w:szCs w:val="21"/>
          <w:highlight w:val="none"/>
          <w:lang w:val="en-US" w:eastAsia="zh-CN"/>
        </w:rPr>
        <w:t>直接</w:t>
      </w:r>
      <w:r>
        <w:rPr>
          <w:rFonts w:hint="eastAsia" w:asciiTheme="minorEastAsia" w:hAnsiTheme="minorEastAsia" w:eastAsiaTheme="minorEastAsia" w:cstheme="minorEastAsia"/>
          <w:sz w:val="21"/>
          <w:szCs w:val="21"/>
          <w:highlight w:val="none"/>
        </w:rPr>
        <w:t>送达给甲方。</w:t>
      </w:r>
    </w:p>
    <w:p w14:paraId="26FC1CF3">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3、乙方应当对被评估对象进行全面清查，根据甲方提供的资产清单，核实资产账面与实际是否相符，并据此作出鉴定。</w:t>
      </w:r>
    </w:p>
    <w:p w14:paraId="543DE89A">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4、乙方应充分根据资产原值、净值、新旧程度、重置成本、获利能力等因素选用合适的资产评估方法；</w:t>
      </w:r>
      <w:r>
        <w:rPr>
          <w:rFonts w:hint="eastAsia" w:asciiTheme="minorEastAsia" w:hAnsiTheme="minorEastAsia" w:eastAsiaTheme="minorEastAsia" w:cstheme="minorEastAsia"/>
          <w:b w:val="0"/>
          <w:bCs w:val="0"/>
          <w:sz w:val="21"/>
          <w:szCs w:val="21"/>
          <w:highlight w:val="none"/>
          <w:lang w:val="en-US" w:eastAsia="zh-CN"/>
        </w:rPr>
        <w:t>并优先在持续使用的假设前提下，进行评估。</w:t>
      </w:r>
    </w:p>
    <w:p w14:paraId="7D154851">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六、评估服务费</w:t>
      </w:r>
      <w:r>
        <w:rPr>
          <w:rFonts w:hint="eastAsia" w:asciiTheme="minorEastAsia" w:hAnsiTheme="minorEastAsia" w:eastAsiaTheme="minorEastAsia" w:cstheme="minorEastAsia"/>
          <w:b/>
          <w:sz w:val="21"/>
          <w:szCs w:val="21"/>
          <w:lang w:eastAsia="zh-CN"/>
        </w:rPr>
        <w:t>：</w:t>
      </w:r>
    </w:p>
    <w:p w14:paraId="6F110BAC">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1、本合同评估服务费：评估服务费为   元（大写：   ）。</w:t>
      </w:r>
    </w:p>
    <w:p w14:paraId="14C58E2D">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2、上述评估服务费包括本次评估全部内容及工期的成本、利润、税金、运输费、损耗等所有费用，除此之外，甲方无需就本合同项下服务向乙方或第三方支付任何其他费用。</w:t>
      </w:r>
    </w:p>
    <w:p w14:paraId="3654A105">
      <w:pPr>
        <w:keepNext w:val="0"/>
        <w:keepLines w:val="0"/>
        <w:pageBreakBefore w:val="0"/>
        <w:kinsoku/>
        <w:wordWrap/>
        <w:overflowPunct/>
        <w:topLinePunct w:val="0"/>
        <w:autoSpaceDE/>
        <w:autoSpaceDN/>
        <w:bidi w:val="0"/>
        <w:adjustRightInd w:val="0"/>
        <w:snapToGrid w:val="0"/>
        <w:spacing w:line="52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3、付款方式：</w:t>
      </w:r>
      <w:r>
        <w:rPr>
          <w:rFonts w:hint="eastAsia"/>
          <w:lang w:val="en-US" w:eastAsia="zh-CN"/>
        </w:rPr>
        <w:t>乙方</w:t>
      </w:r>
      <w:r>
        <w:rPr>
          <w:rFonts w:hint="eastAsia"/>
        </w:rPr>
        <w:t>完成全部评估并出具符合</w:t>
      </w:r>
      <w:r>
        <w:rPr>
          <w:rFonts w:hint="eastAsia"/>
          <w:lang w:val="en-US" w:eastAsia="zh-CN"/>
        </w:rPr>
        <w:t>甲方</w:t>
      </w:r>
      <w:r>
        <w:rPr>
          <w:rFonts w:hint="eastAsia"/>
        </w:rPr>
        <w:t>要求的评估报告后30日内一次性支付评估费用。</w:t>
      </w:r>
      <w:r>
        <w:rPr>
          <w:rFonts w:hint="eastAsia" w:asciiTheme="minorEastAsia" w:hAnsiTheme="minorEastAsia" w:eastAsiaTheme="minorEastAsia" w:cstheme="minorEastAsia"/>
          <w:spacing w:val="6"/>
          <w:sz w:val="21"/>
          <w:szCs w:val="21"/>
          <w:lang w:val="en-US" w:eastAsia="zh-CN"/>
        </w:rPr>
        <w:t>在</w:t>
      </w:r>
      <w:r>
        <w:rPr>
          <w:rFonts w:hint="eastAsia" w:asciiTheme="minorEastAsia" w:hAnsiTheme="minorEastAsia" w:cstheme="minorEastAsia"/>
          <w:spacing w:val="6"/>
          <w:sz w:val="21"/>
          <w:szCs w:val="21"/>
          <w:lang w:val="en-US" w:eastAsia="zh-CN"/>
        </w:rPr>
        <w:t>甲方</w:t>
      </w:r>
      <w:r>
        <w:rPr>
          <w:rFonts w:hint="eastAsia" w:asciiTheme="minorEastAsia" w:hAnsiTheme="minorEastAsia" w:eastAsiaTheme="minorEastAsia" w:cstheme="minorEastAsia"/>
          <w:spacing w:val="6"/>
          <w:sz w:val="21"/>
          <w:szCs w:val="21"/>
          <w:lang w:val="en-US" w:eastAsia="zh-CN"/>
        </w:rPr>
        <w:t>付款前，</w:t>
      </w:r>
      <w:r>
        <w:rPr>
          <w:rFonts w:hint="eastAsia" w:asciiTheme="minorEastAsia" w:hAnsiTheme="minorEastAsia" w:cstheme="minorEastAsia"/>
          <w:spacing w:val="6"/>
          <w:sz w:val="21"/>
          <w:szCs w:val="21"/>
          <w:lang w:val="en-US" w:eastAsia="zh-CN"/>
        </w:rPr>
        <w:t>乙方</w:t>
      </w:r>
      <w:r>
        <w:rPr>
          <w:rFonts w:hint="eastAsia" w:asciiTheme="minorEastAsia" w:hAnsiTheme="minorEastAsia" w:eastAsiaTheme="minorEastAsia" w:cstheme="minorEastAsia"/>
          <w:spacing w:val="6"/>
          <w:sz w:val="21"/>
          <w:szCs w:val="21"/>
          <w:lang w:val="en-US" w:eastAsia="zh-CN"/>
        </w:rPr>
        <w:t>需向</w:t>
      </w:r>
      <w:r>
        <w:rPr>
          <w:rFonts w:hint="eastAsia" w:asciiTheme="minorEastAsia" w:hAnsiTheme="minorEastAsia" w:cstheme="minorEastAsia"/>
          <w:spacing w:val="6"/>
          <w:sz w:val="21"/>
          <w:szCs w:val="21"/>
          <w:lang w:val="en-US" w:eastAsia="zh-CN"/>
        </w:rPr>
        <w:t>甲方</w:t>
      </w:r>
      <w:r>
        <w:rPr>
          <w:rFonts w:hint="eastAsia" w:asciiTheme="minorEastAsia" w:hAnsiTheme="minorEastAsia" w:eastAsiaTheme="minorEastAsia" w:cstheme="minorEastAsia"/>
          <w:spacing w:val="6"/>
          <w:sz w:val="21"/>
          <w:szCs w:val="21"/>
          <w:lang w:val="en-US" w:eastAsia="zh-CN"/>
        </w:rPr>
        <w:t>交付等额的增值税专用发票，否则</w:t>
      </w:r>
      <w:r>
        <w:rPr>
          <w:rFonts w:hint="eastAsia" w:asciiTheme="minorEastAsia" w:hAnsiTheme="minorEastAsia" w:cstheme="minorEastAsia"/>
          <w:spacing w:val="6"/>
          <w:sz w:val="21"/>
          <w:szCs w:val="21"/>
          <w:lang w:val="en-US" w:eastAsia="zh-CN"/>
        </w:rPr>
        <w:t>甲方</w:t>
      </w:r>
      <w:r>
        <w:rPr>
          <w:rFonts w:hint="eastAsia" w:asciiTheme="minorEastAsia" w:hAnsiTheme="minorEastAsia" w:eastAsiaTheme="minorEastAsia" w:cstheme="minorEastAsia"/>
          <w:spacing w:val="6"/>
          <w:sz w:val="21"/>
          <w:szCs w:val="21"/>
          <w:lang w:val="en-US" w:eastAsia="zh-CN"/>
        </w:rPr>
        <w:t>有权拒绝或者延迟付款，且不承担违约责任。</w:t>
      </w:r>
    </w:p>
    <w:p w14:paraId="7D513026">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4、若评估范围或评估基准日发生变化，双方应签订补充协议或重新签订资产评估委托合同，评估服务费另议。</w:t>
      </w:r>
    </w:p>
    <w:p w14:paraId="0DE430A0">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、甲方所支付的评估服务费中包含乙方利用自主开发的云数据库系统、评估工具软件、底稿系统软件和项目管理系统等高技术手段提供高效服务的费用。</w:t>
      </w:r>
    </w:p>
    <w:p w14:paraId="08044262">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、评估服务费的支付方式为转账汇款。</w:t>
      </w:r>
    </w:p>
    <w:p w14:paraId="565F072E">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、乙方可接受的支付币种为人民币。</w:t>
      </w:r>
    </w:p>
    <w:p w14:paraId="7A37D4BA">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、乙方收款账户信息</w:t>
      </w:r>
      <w:r>
        <w:rPr>
          <w:rFonts w:hint="eastAsia" w:asciiTheme="minorEastAsia" w:hAnsiTheme="minorEastAsia" w:eastAsiaTheme="minorEastAsia" w:cstheme="minorEastAsia"/>
          <w:sz w:val="21"/>
          <w:szCs w:val="21"/>
          <w:lang w:val="en-US" w:eastAsia="zh-CN"/>
        </w:rPr>
        <w:t>如下</w:t>
      </w:r>
      <w:r>
        <w:rPr>
          <w:rFonts w:hint="eastAsia" w:asciiTheme="minorEastAsia" w:hAnsiTheme="minorEastAsia" w:eastAsiaTheme="minorEastAsia" w:cstheme="minorEastAsia"/>
          <w:sz w:val="21"/>
          <w:szCs w:val="21"/>
        </w:rPr>
        <w:t>：</w:t>
      </w:r>
    </w:p>
    <w:p w14:paraId="64FA06B9">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开户行：</w:t>
      </w:r>
    </w:p>
    <w:p w14:paraId="502B3DD9">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账户名称：</w:t>
      </w:r>
    </w:p>
    <w:p w14:paraId="724BD7A7">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账号：</w:t>
      </w:r>
    </w:p>
    <w:p w14:paraId="4DFC6298">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0ECECD3B">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七、关于发票的特别约定：</w:t>
      </w:r>
    </w:p>
    <w:p w14:paraId="45A006EB">
      <w:pPr>
        <w:pStyle w:val="10"/>
        <w:keepNext w:val="0"/>
        <w:keepLines w:val="0"/>
        <w:pageBreakBefore w:val="0"/>
        <w:kinsoku/>
        <w:wordWrap/>
        <w:overflowPunct/>
        <w:topLinePunct w:val="0"/>
        <w:autoSpaceDE/>
        <w:autoSpaceDN/>
        <w:bidi w:val="0"/>
        <w:snapToGrid w:val="0"/>
        <w:spacing w:line="520" w:lineRule="atLeast"/>
        <w:ind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、发票上的购买方应与评估服务费支付方一致，若评估服务费支付方、支付金额等发生变化的，应签订补充协议另行约定，并及时更换发票</w:t>
      </w:r>
      <w:r>
        <w:rPr>
          <w:rFonts w:hint="eastAsia"/>
          <w:lang w:val="en-US" w:eastAsia="zh-CN"/>
        </w:rPr>
        <w:t>，否则甲方有权拒绝付款且不承担违约责任</w:t>
      </w:r>
      <w:r>
        <w:rPr>
          <w:rFonts w:hint="eastAsia" w:asciiTheme="minorEastAsia" w:hAnsiTheme="minorEastAsia" w:eastAsiaTheme="minorEastAsia" w:cstheme="minorEastAsia"/>
          <w:sz w:val="21"/>
          <w:szCs w:val="21"/>
        </w:rPr>
        <w:t>。</w:t>
      </w:r>
    </w:p>
    <w:p w14:paraId="725D7B3A">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八、双方权利和义务</w:t>
      </w:r>
      <w:r>
        <w:rPr>
          <w:rFonts w:hint="eastAsia" w:asciiTheme="minorEastAsia" w:hAnsiTheme="minorEastAsia" w:eastAsiaTheme="minorEastAsia" w:cstheme="minorEastAsia"/>
          <w:b/>
          <w:sz w:val="21"/>
          <w:szCs w:val="21"/>
          <w:lang w:eastAsia="zh-CN"/>
        </w:rPr>
        <w:t>：</w:t>
      </w:r>
    </w:p>
    <w:p w14:paraId="035255E2">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和其他相关当事人须向乙方提供资产评估业务需要的资料并保证所提供资料的真实性、完整性、合法性；甲方和其他相关当事人应当对其提供的资产评估明细表及其他重要资料的真实性、完整性、合法性以签</w:t>
      </w:r>
      <w:r>
        <w:rPr>
          <w:rFonts w:hint="eastAsia" w:asciiTheme="minorEastAsia" w:hAnsiTheme="minorEastAsia" w:cstheme="minorEastAsia"/>
          <w:sz w:val="21"/>
          <w:szCs w:val="21"/>
          <w:lang w:val="en-US" w:eastAsia="zh-CN"/>
        </w:rPr>
        <w:t>名</w:t>
      </w:r>
      <w:r>
        <w:rPr>
          <w:rFonts w:hint="eastAsia" w:asciiTheme="minorEastAsia" w:hAnsiTheme="minorEastAsia" w:eastAsiaTheme="minorEastAsia" w:cstheme="minorEastAsia"/>
          <w:sz w:val="21"/>
          <w:szCs w:val="21"/>
        </w:rPr>
        <w:t>、盖章或者法律允许的其他方式进行确认。</w:t>
      </w:r>
    </w:p>
    <w:p w14:paraId="03BB33C5">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2、甲方应当为乙方及其专业人员执行评估业务提供必要的工作条件和协助；甲方应当根据评估业务需要，负责乙方及其专业人员与相关当事人之间的协调。 </w:t>
      </w:r>
    </w:p>
    <w:p w14:paraId="49506CAF">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3、甲方应当按照本合同第四条的约定恰当使用资产评估报告。</w:t>
      </w:r>
    </w:p>
    <w:p w14:paraId="448EDD30">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4、乙方有责任按照本合同的约定按时按质完成资产评估工作。</w:t>
      </w:r>
    </w:p>
    <w:p w14:paraId="254DDE35">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5、乙方及其专业人员应</w:t>
      </w:r>
      <w:r>
        <w:rPr>
          <w:rFonts w:hint="eastAsia" w:asciiTheme="minorEastAsia" w:hAnsiTheme="minorEastAsia" w:eastAsiaTheme="minorEastAsia" w:cstheme="minorEastAsia"/>
          <w:sz w:val="21"/>
          <w:szCs w:val="21"/>
          <w:highlight w:val="none"/>
        </w:rPr>
        <w:t>当遵守相关法律、行政法规和资产评估准则，对评估对象在评估基准日特定目的下的价值进行分析和估算并出具资产评估报告。</w:t>
      </w:r>
    </w:p>
    <w:p w14:paraId="25383A40">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6、乙方应当按照《国有资产评估管理办法》（国务院令第91号）等开展评估工作，并出具符合《企业国有资产评估报告指南》（中评协</w:t>
      </w:r>
      <w:r>
        <w:rPr>
          <w:rFonts w:hint="eastAsia" w:asciiTheme="minorEastAsia" w:hAnsiTheme="minorEastAsia" w:cstheme="minorEastAsia"/>
          <w:sz w:val="21"/>
          <w:szCs w:val="21"/>
          <w:highlight w:val="none"/>
          <w:lang w:val="en-US" w:eastAsia="zh-CN"/>
        </w:rPr>
        <w:t>〔2017〕42号</w:t>
      </w:r>
      <w:r>
        <w:rPr>
          <w:rFonts w:hint="eastAsia" w:asciiTheme="minorEastAsia" w:hAnsiTheme="minorEastAsia" w:eastAsiaTheme="minorEastAsia" w:cstheme="minorEastAsia"/>
          <w:sz w:val="21"/>
          <w:szCs w:val="21"/>
          <w:highlight w:val="none"/>
          <w:lang w:val="en-US" w:eastAsia="zh-CN"/>
        </w:rPr>
        <w:t>）的规定的资产评估报告。</w:t>
      </w:r>
    </w:p>
    <w:p w14:paraId="05BDC443">
      <w:pPr>
        <w:pStyle w:val="56"/>
        <w:keepNext w:val="0"/>
        <w:keepLines w:val="0"/>
        <w:pageBreakBefore w:val="0"/>
        <w:kinsoku/>
        <w:wordWrap/>
        <w:overflowPunct/>
        <w:topLinePunct w:val="0"/>
        <w:autoSpaceDE/>
        <w:autoSpaceDN/>
        <w:bidi w:val="0"/>
        <w:spacing w:line="520" w:lineRule="atLeas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7.乙方对甲方及相关当事人内部资料、商业秘密、估值结果及约定的保密事项有保守秘密的义务。</w:t>
      </w:r>
    </w:p>
    <w:p w14:paraId="7C407D9B">
      <w:pPr>
        <w:pStyle w:val="56"/>
        <w:keepNext w:val="0"/>
        <w:keepLines w:val="0"/>
        <w:pageBreakBefore w:val="0"/>
        <w:kinsoku/>
        <w:wordWrap/>
        <w:overflowPunct/>
        <w:topLinePunct w:val="0"/>
        <w:autoSpaceDE/>
        <w:autoSpaceDN/>
        <w:bidi w:val="0"/>
        <w:spacing w:line="520" w:lineRule="atLeas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highlight w:val="none"/>
          <w:lang w:val="en-US" w:eastAsia="zh-CN"/>
        </w:rPr>
        <w:t>8.</w:t>
      </w:r>
      <w:r>
        <w:rPr>
          <w:rFonts w:hint="eastAsia" w:asciiTheme="minorEastAsia" w:hAnsiTheme="minorEastAsia" w:eastAsiaTheme="minorEastAsia" w:cstheme="minorEastAsia"/>
          <w:kern w:val="2"/>
          <w:sz w:val="21"/>
          <w:szCs w:val="21"/>
          <w:highlight w:val="none"/>
          <w:lang w:val="en-US"/>
        </w:rPr>
        <w:t>当甲方认定乙方委派的评估专业人员不足以妥善履行评估职责时，乙方应及时更换评估人员。</w:t>
      </w:r>
    </w:p>
    <w:p w14:paraId="119424E3">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双方如不履行上述义务，视为违约。</w:t>
      </w:r>
    </w:p>
    <w:p w14:paraId="355F996E">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九、双方违约责任</w:t>
      </w:r>
      <w:r>
        <w:rPr>
          <w:rFonts w:hint="eastAsia" w:asciiTheme="minorEastAsia" w:hAnsiTheme="minorEastAsia" w:eastAsiaTheme="minorEastAsia" w:cstheme="minorEastAsia"/>
          <w:b/>
          <w:sz w:val="21"/>
          <w:szCs w:val="21"/>
          <w:lang w:eastAsia="zh-CN"/>
        </w:rPr>
        <w:t>：</w:t>
      </w:r>
    </w:p>
    <w:p w14:paraId="367005C0">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w:t>
      </w:r>
      <w:r>
        <w:rPr>
          <w:rFonts w:hint="eastAsia" w:asciiTheme="minorEastAsia" w:hAnsiTheme="minorEastAsia" w:cstheme="minorEastAsia"/>
          <w:sz w:val="21"/>
          <w:szCs w:val="21"/>
          <w:lang w:val="en-US" w:eastAsia="zh-CN"/>
        </w:rPr>
        <w:t>若无正当理由</w:t>
      </w:r>
      <w:r>
        <w:rPr>
          <w:rFonts w:hint="eastAsia" w:asciiTheme="minorEastAsia" w:hAnsiTheme="minorEastAsia" w:eastAsiaTheme="minorEastAsia" w:cstheme="minorEastAsia"/>
          <w:sz w:val="21"/>
          <w:szCs w:val="21"/>
        </w:rPr>
        <w:t>拒绝向乙方支付评估服务费，乙方有权</w:t>
      </w:r>
      <w:r>
        <w:rPr>
          <w:rFonts w:hint="eastAsia" w:asciiTheme="minorEastAsia" w:hAnsiTheme="minorEastAsia" w:cstheme="minorEastAsia"/>
          <w:sz w:val="21"/>
          <w:szCs w:val="21"/>
          <w:lang w:val="en-US" w:eastAsia="zh-CN"/>
        </w:rPr>
        <w:t>向甲方催要评估服务费，若甲方迟延或拒绝付款超过本合同约定的付款期限30日，乙方有权</w:t>
      </w:r>
      <w:r>
        <w:rPr>
          <w:rFonts w:hint="eastAsia" w:asciiTheme="minorEastAsia" w:hAnsiTheme="minorEastAsia" w:eastAsiaTheme="minorEastAsia" w:cstheme="minorEastAsia"/>
          <w:sz w:val="21"/>
          <w:szCs w:val="21"/>
        </w:rPr>
        <w:t>停止工作</w:t>
      </w:r>
    </w:p>
    <w:p w14:paraId="6E17FF3B">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、乙方未同甲方协商擅自变更或解除本合同，应全额返回甲方已支付的评估服务费用，</w:t>
      </w:r>
      <w:r>
        <w:rPr>
          <w:rFonts w:hint="eastAsia" w:asciiTheme="minorEastAsia" w:hAnsiTheme="minorEastAsia" w:cstheme="minorEastAsia"/>
          <w:sz w:val="21"/>
          <w:szCs w:val="21"/>
          <w:lang w:val="en-US" w:eastAsia="zh-CN"/>
        </w:rPr>
        <w:t>并且乙方须承担甲方因此产生的一切损失。</w:t>
      </w:r>
      <w:r>
        <w:rPr>
          <w:rFonts w:hint="eastAsia" w:asciiTheme="minorEastAsia" w:hAnsiTheme="minorEastAsia" w:eastAsiaTheme="minorEastAsia" w:cstheme="minorEastAsia"/>
          <w:sz w:val="21"/>
          <w:szCs w:val="21"/>
        </w:rPr>
        <w:t>但本合同第十条第2款和第3款所列情形除外。</w:t>
      </w:r>
    </w:p>
    <w:p w14:paraId="42F52CB0">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、甲方未及时向乙方提供资产评估所需的文件、资料，或提供的文件和资料不真实，因此产生的不良后果由甲方负责，</w:t>
      </w:r>
      <w:r>
        <w:rPr>
          <w:rFonts w:hint="eastAsia" w:asciiTheme="minorEastAsia" w:hAnsiTheme="minorEastAsia" w:cstheme="minorEastAsia"/>
          <w:sz w:val="21"/>
          <w:szCs w:val="21"/>
          <w:lang w:val="en-US" w:eastAsia="zh-CN"/>
        </w:rPr>
        <w:t>但乙方如未及时要求甲方补充材料而产生的不良后果乙方应承担相应责任</w:t>
      </w:r>
      <w:r>
        <w:rPr>
          <w:rFonts w:hint="eastAsia" w:asciiTheme="minorEastAsia" w:hAnsiTheme="minorEastAsia" w:eastAsiaTheme="minorEastAsia" w:cstheme="minorEastAsia"/>
          <w:sz w:val="21"/>
          <w:szCs w:val="21"/>
        </w:rPr>
        <w:t>。</w:t>
      </w:r>
    </w:p>
    <w:p w14:paraId="775F4DE7">
      <w:pPr>
        <w:pStyle w:val="57"/>
        <w:keepNext w:val="0"/>
        <w:keepLines w:val="0"/>
        <w:pageBreakBefore w:val="0"/>
        <w:numPr>
          <w:ilvl w:val="0"/>
          <w:numId w:val="0"/>
        </w:numPr>
        <w:kinsoku/>
        <w:wordWrap/>
        <w:overflowPunct/>
        <w:topLinePunct w:val="0"/>
        <w:autoSpaceDE/>
        <w:autoSpaceDN/>
        <w:bidi w:val="0"/>
        <w:adjustRightInd w:val="0"/>
        <w:snapToGrid w:val="0"/>
        <w:spacing w:line="520" w:lineRule="atLeas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lang w:val="en-US" w:eastAsia="zh-CN"/>
        </w:rPr>
        <w:t>.乙方违反本委托合同，不能在约定时间内提供专业水准的评估报告，每延期一天，支付相当于服务费总额0.5‰的违约金，如由此造成经济行为确指的资产业务无法进行或造成严重后果的，乙方应退还已收全部服务费，并承担相应的法律责任。延期超过十日的，甲方有权解除本合同，并要求乙方赔偿造成的全部损失。</w:t>
      </w:r>
    </w:p>
    <w:p w14:paraId="4B4DABC4">
      <w:pPr>
        <w:pStyle w:val="2"/>
        <w:keepNext w:val="0"/>
        <w:keepLines w:val="0"/>
        <w:pageBreakBefore w:val="0"/>
        <w:kinsoku/>
        <w:wordWrap/>
        <w:overflowPunct/>
        <w:topLinePunct w:val="0"/>
        <w:autoSpaceDE/>
        <w:autoSpaceDN/>
        <w:bidi w:val="0"/>
        <w:spacing w:line="520" w:lineRule="atLeas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乙方或其工作人员违反信息保密义务给甲方造成损失的，乙方应承担赔偿责任；乙方报告出现错误给甲方或合法使用报告的第三方造成损失的，乙方应承担赔偿责任。</w:t>
      </w:r>
    </w:p>
    <w:p w14:paraId="07566502">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十、双方争议解决及其他：</w:t>
      </w:r>
    </w:p>
    <w:p w14:paraId="4C1A3B5A">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1、本合同经双方协商一致可以中止或解除。</w:t>
      </w:r>
    </w:p>
    <w:p w14:paraId="43CF6EB7">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因甲方和其他相关当事人原因导致资产评估程序受限，对与评估目的相对应的评估结论构成重大影响，乙方无法履行本合同时，乙方可以单方解除本合同，甲方应根据乙方已开展资产评估业务的时间、进度，或者完成的评估工作量向乙方支付相应的评估服务费。</w:t>
      </w:r>
    </w:p>
    <w:p w14:paraId="2F6A033A">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3、甲方要求乙方出具虚假资产评估报告或者有其他非法干预评估结论情形的，乙方有权单方解除本合同。</w:t>
      </w:r>
    </w:p>
    <w:p w14:paraId="574F50E3">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kern w:val="32"/>
          <w:sz w:val="21"/>
          <w:szCs w:val="21"/>
        </w:rPr>
      </w:pPr>
      <w:r>
        <w:rPr>
          <w:rFonts w:hint="eastAsia" w:asciiTheme="minorEastAsia" w:hAnsiTheme="minorEastAsia" w:eastAsiaTheme="minorEastAsia" w:cstheme="minorEastAsia"/>
          <w:kern w:val="32"/>
          <w:sz w:val="21"/>
          <w:szCs w:val="21"/>
        </w:rPr>
        <w:t>4、本合同未明确的内容或未尽事宜由双方协商，协商达成一致后以</w:t>
      </w:r>
      <w:r>
        <w:rPr>
          <w:rFonts w:hint="eastAsia" w:asciiTheme="minorEastAsia" w:hAnsiTheme="minorEastAsia" w:cstheme="minorEastAsia"/>
          <w:kern w:val="32"/>
          <w:sz w:val="21"/>
          <w:szCs w:val="21"/>
          <w:lang w:val="en-US" w:eastAsia="zh-CN"/>
        </w:rPr>
        <w:t>书面</w:t>
      </w:r>
      <w:r>
        <w:rPr>
          <w:rFonts w:hint="eastAsia" w:asciiTheme="minorEastAsia" w:hAnsiTheme="minorEastAsia" w:eastAsiaTheme="minorEastAsia" w:cstheme="minorEastAsia"/>
          <w:kern w:val="32"/>
          <w:sz w:val="21"/>
          <w:szCs w:val="21"/>
        </w:rPr>
        <w:t>形式作为本合同的附件与本合同有同等的法律效力。</w:t>
      </w:r>
    </w:p>
    <w:p w14:paraId="3D644441">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kern w:val="32"/>
          <w:sz w:val="21"/>
          <w:szCs w:val="21"/>
        </w:rPr>
      </w:pPr>
      <w:r>
        <w:rPr>
          <w:rFonts w:hint="eastAsia" w:asciiTheme="minorEastAsia" w:hAnsiTheme="minorEastAsia" w:eastAsiaTheme="minorEastAsia" w:cstheme="minorEastAsia"/>
          <w:kern w:val="32"/>
          <w:sz w:val="21"/>
          <w:szCs w:val="21"/>
        </w:rPr>
        <w:t>5、因本合同</w:t>
      </w:r>
      <w:r>
        <w:rPr>
          <w:rFonts w:hint="eastAsia" w:asciiTheme="minorEastAsia" w:hAnsiTheme="minorEastAsia" w:eastAsiaTheme="minorEastAsia" w:cstheme="minorEastAsia"/>
          <w:sz w:val="21"/>
          <w:szCs w:val="21"/>
        </w:rPr>
        <w:t>产生</w:t>
      </w:r>
      <w:r>
        <w:rPr>
          <w:rFonts w:hint="eastAsia" w:asciiTheme="minorEastAsia" w:hAnsiTheme="minorEastAsia" w:eastAsiaTheme="minorEastAsia" w:cstheme="minorEastAsia"/>
          <w:kern w:val="32"/>
          <w:sz w:val="21"/>
          <w:szCs w:val="21"/>
        </w:rPr>
        <w:t>的争议由双方协商解决，协商不成时，</w:t>
      </w:r>
      <w:r>
        <w:rPr>
          <w:rFonts w:hint="eastAsia" w:asciiTheme="minorEastAsia" w:hAnsiTheme="minorEastAsia" w:cstheme="minorEastAsia"/>
          <w:kern w:val="32"/>
          <w:sz w:val="21"/>
          <w:szCs w:val="21"/>
          <w:lang w:val="en-US" w:eastAsia="zh-CN"/>
        </w:rPr>
        <w:t>任何一方可</w:t>
      </w:r>
      <w:r>
        <w:rPr>
          <w:rFonts w:hint="eastAsia" w:asciiTheme="minorEastAsia" w:hAnsiTheme="minorEastAsia" w:eastAsiaTheme="minorEastAsia" w:cstheme="minorEastAsia"/>
          <w:kern w:val="32"/>
          <w:sz w:val="21"/>
          <w:szCs w:val="21"/>
        </w:rPr>
        <w:t>向</w:t>
      </w:r>
      <w:r>
        <w:rPr>
          <w:rFonts w:hint="eastAsia" w:asciiTheme="minorEastAsia" w:hAnsiTheme="minorEastAsia" w:eastAsiaTheme="minorEastAsia" w:cstheme="minorEastAsia"/>
          <w:kern w:val="32"/>
          <w:sz w:val="21"/>
          <w:szCs w:val="21"/>
          <w:lang w:val="en-US" w:eastAsia="zh-CN"/>
        </w:rPr>
        <w:t>甲方</w:t>
      </w:r>
      <w:r>
        <w:rPr>
          <w:rFonts w:hint="eastAsia" w:asciiTheme="minorEastAsia" w:hAnsiTheme="minorEastAsia" w:eastAsiaTheme="minorEastAsia" w:cstheme="minorEastAsia"/>
          <w:kern w:val="32"/>
          <w:sz w:val="21"/>
          <w:szCs w:val="21"/>
        </w:rPr>
        <w:t>所在地</w:t>
      </w:r>
      <w:r>
        <w:rPr>
          <w:rFonts w:hint="eastAsia" w:asciiTheme="minorEastAsia" w:hAnsiTheme="minorEastAsia" w:eastAsiaTheme="minorEastAsia" w:cstheme="minorEastAsia"/>
          <w:kern w:val="32"/>
          <w:sz w:val="21"/>
          <w:szCs w:val="21"/>
          <w:lang w:val="en-US" w:eastAsia="zh-CN"/>
        </w:rPr>
        <w:t>有管辖权的</w:t>
      </w:r>
      <w:r>
        <w:rPr>
          <w:rFonts w:hint="eastAsia" w:asciiTheme="minorEastAsia" w:hAnsiTheme="minorEastAsia" w:eastAsiaTheme="minorEastAsia" w:cstheme="minorEastAsia"/>
          <w:kern w:val="32"/>
          <w:sz w:val="21"/>
          <w:szCs w:val="21"/>
        </w:rPr>
        <w:t>人民法院起诉。</w:t>
      </w:r>
    </w:p>
    <w:p w14:paraId="486D9793">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6、本合同经双方</w:t>
      </w:r>
      <w:r>
        <w:rPr>
          <w:rFonts w:hint="eastAsia" w:asciiTheme="minorEastAsia" w:hAnsiTheme="minorEastAsia" w:cstheme="minorEastAsia"/>
          <w:sz w:val="21"/>
          <w:szCs w:val="21"/>
          <w:lang w:val="en-US" w:eastAsia="zh-CN"/>
        </w:rPr>
        <w:t>代表</w:t>
      </w:r>
      <w:r>
        <w:rPr>
          <w:rFonts w:hint="eastAsia" w:asciiTheme="minorEastAsia" w:hAnsiTheme="minorEastAsia" w:eastAsiaTheme="minorEastAsia" w:cstheme="minorEastAsia"/>
          <w:sz w:val="21"/>
          <w:szCs w:val="21"/>
        </w:rPr>
        <w:t>签</w:t>
      </w:r>
      <w:r>
        <w:rPr>
          <w:rFonts w:hint="eastAsia" w:asciiTheme="minorEastAsia" w:hAnsiTheme="minorEastAsia" w:eastAsiaTheme="minorEastAsia" w:cstheme="minorEastAsia"/>
          <w:sz w:val="21"/>
          <w:szCs w:val="21"/>
          <w:lang w:val="en-US" w:eastAsia="zh-CN"/>
        </w:rPr>
        <w:t>名</w:t>
      </w:r>
      <w:r>
        <w:rPr>
          <w:rFonts w:hint="eastAsia" w:asciiTheme="minorEastAsia" w:hAnsiTheme="minorEastAsia" w:eastAsiaTheme="minorEastAsia" w:cstheme="minorEastAsia"/>
          <w:sz w:val="21"/>
          <w:szCs w:val="21"/>
        </w:rPr>
        <w:t>，并加盖单位公章或合同专用章后，即发生法律效力。</w:t>
      </w:r>
    </w:p>
    <w:p w14:paraId="72DDE405">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7、本合同正本一式</w:t>
      </w:r>
      <w:r>
        <w:rPr>
          <w:rFonts w:hint="eastAsia" w:asciiTheme="minorEastAsia" w:hAnsiTheme="minorEastAsia" w:cstheme="minorEastAsia"/>
          <w:sz w:val="21"/>
          <w:szCs w:val="21"/>
          <w:lang w:val="en-US" w:eastAsia="zh-CN"/>
        </w:rPr>
        <w:t>肆</w:t>
      </w:r>
      <w:r>
        <w:rPr>
          <w:rFonts w:hint="eastAsia" w:asciiTheme="minorEastAsia" w:hAnsiTheme="minorEastAsia" w:eastAsiaTheme="minorEastAsia" w:cstheme="minorEastAsia"/>
          <w:sz w:val="21"/>
          <w:szCs w:val="21"/>
        </w:rPr>
        <w:t>份，</w:t>
      </w:r>
      <w:r>
        <w:rPr>
          <w:rFonts w:hint="eastAsia" w:asciiTheme="minorEastAsia" w:hAnsiTheme="minorEastAsia" w:eastAsiaTheme="minorEastAsia" w:cstheme="minorEastAsia"/>
          <w:sz w:val="21"/>
          <w:szCs w:val="21"/>
          <w:lang w:val="en-US" w:eastAsia="zh-CN"/>
        </w:rPr>
        <w:t>甲</w:t>
      </w:r>
      <w:r>
        <w:rPr>
          <w:rFonts w:hint="eastAsia" w:asciiTheme="minorEastAsia" w:hAnsiTheme="minorEastAsia" w:cstheme="minorEastAsia"/>
          <w:sz w:val="21"/>
          <w:szCs w:val="21"/>
          <w:lang w:val="en-US" w:eastAsia="zh-CN"/>
        </w:rPr>
        <w:t>方叁份，乙方一份</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具有同等法律效力。</w:t>
      </w:r>
    </w:p>
    <w:p w14:paraId="38EAD7C1">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8、如遇到国家有关政策调整、法律修改及其他不可抗力事件，导致甲、乙双方或任何一方无法履行本合同，所遗留问题由双方协商解决。</w:t>
      </w:r>
    </w:p>
    <w:p w14:paraId="4BEF09EC">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9、本合同中“甲方代表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乙方代表”特指合同当事人双方企业法定代表人或法定代表人的授权人。</w:t>
      </w:r>
    </w:p>
    <w:p w14:paraId="35DF657B">
      <w:pPr>
        <w:pStyle w:val="2"/>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lang w:val="en-US" w:eastAsia="zh-CN"/>
        </w:rPr>
        <w:t>、下列</w:t>
      </w:r>
      <w:r>
        <w:rPr>
          <w:rFonts w:hint="eastAsia" w:asciiTheme="minorEastAsia" w:hAnsiTheme="minorEastAsia" w:cstheme="minorEastAsia"/>
          <w:sz w:val="21"/>
          <w:szCs w:val="21"/>
          <w:lang w:val="en-US" w:eastAsia="zh-CN"/>
        </w:rPr>
        <w:t>询价</w:t>
      </w:r>
      <w:r>
        <w:rPr>
          <w:rFonts w:hint="eastAsia" w:asciiTheme="minorEastAsia" w:hAnsiTheme="minorEastAsia" w:eastAsiaTheme="minorEastAsia" w:cstheme="minorEastAsia"/>
          <w:sz w:val="21"/>
          <w:szCs w:val="21"/>
          <w:lang w:val="en-US" w:eastAsia="zh-CN"/>
        </w:rPr>
        <w:t>文件及有关附件是本合同不可分割的组成部分，并构成一个整体，需综合解释、相互补充。如果下列文件内容出现不一致的情形，组成本合同的多个文件的优先适用及解释的顺序如下：</w:t>
      </w:r>
    </w:p>
    <w:p w14:paraId="216822A0">
      <w:pPr>
        <w:pStyle w:val="2"/>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（1）本合同及其补充合同、变更协议；</w:t>
      </w:r>
    </w:p>
    <w:p w14:paraId="75CA26C1">
      <w:pPr>
        <w:pStyle w:val="2"/>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（2）成交（中标）通知书；</w:t>
      </w:r>
    </w:p>
    <w:p w14:paraId="740D9C8A">
      <w:pPr>
        <w:pStyle w:val="2"/>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（3）经甲方确认的乙方承诺书；</w:t>
      </w:r>
    </w:p>
    <w:p w14:paraId="2395DBF2">
      <w:pPr>
        <w:pStyle w:val="2"/>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询价</w:t>
      </w:r>
      <w:r>
        <w:rPr>
          <w:rFonts w:hint="eastAsia" w:asciiTheme="minorEastAsia" w:hAnsiTheme="minorEastAsia" w:eastAsiaTheme="minorEastAsia" w:cstheme="minorEastAsia"/>
          <w:sz w:val="21"/>
          <w:szCs w:val="21"/>
          <w:lang w:val="en-US" w:eastAsia="zh-CN"/>
        </w:rPr>
        <w:t>文件（含澄清或者修改文件）；</w:t>
      </w:r>
    </w:p>
    <w:p w14:paraId="2CBE6B2D">
      <w:pPr>
        <w:pStyle w:val="2"/>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（5）投标文件；</w:t>
      </w:r>
    </w:p>
    <w:p w14:paraId="33BFC705">
      <w:pPr>
        <w:pStyle w:val="2"/>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（6）其他相关</w:t>
      </w:r>
      <w:r>
        <w:rPr>
          <w:rFonts w:hint="eastAsia" w:asciiTheme="minorEastAsia" w:hAnsiTheme="minorEastAsia" w:cstheme="minorEastAsia"/>
          <w:sz w:val="21"/>
          <w:szCs w:val="21"/>
          <w:lang w:val="en-US" w:eastAsia="zh-CN"/>
        </w:rPr>
        <w:t>询价</w:t>
      </w:r>
      <w:r>
        <w:rPr>
          <w:rFonts w:hint="eastAsia" w:asciiTheme="minorEastAsia" w:hAnsiTheme="minorEastAsia" w:eastAsiaTheme="minorEastAsia" w:cstheme="minorEastAsia"/>
          <w:sz w:val="21"/>
          <w:szCs w:val="21"/>
          <w:lang w:val="en-US" w:eastAsia="zh-CN"/>
        </w:rPr>
        <w:t>文件。</w:t>
      </w:r>
    </w:p>
    <w:p w14:paraId="43595A1F">
      <w:pPr>
        <w:pStyle w:val="2"/>
        <w:ind w:left="0" w:leftChars="0" w:firstLine="420" w:firstLineChars="200"/>
        <w:rPr>
          <w:rFonts w:hint="eastAsia" w:asciiTheme="minorEastAsia" w:hAnsiTheme="minorEastAsia" w:eastAsiaTheme="minorEastAsia" w:cstheme="minorEastAsia"/>
          <w:sz w:val="21"/>
          <w:szCs w:val="21"/>
          <w:lang w:val="en-US" w:eastAsia="zh-CN"/>
        </w:rPr>
      </w:pPr>
    </w:p>
    <w:tbl>
      <w:tblPr>
        <w:tblStyle w:val="22"/>
        <w:tblW w:w="8718" w:type="dxa"/>
        <w:tblInd w:w="108" w:type="dxa"/>
        <w:tblLayout w:type="autofit"/>
        <w:tblCellMar>
          <w:top w:w="0" w:type="dxa"/>
          <w:left w:w="108" w:type="dxa"/>
          <w:bottom w:w="0" w:type="dxa"/>
          <w:right w:w="108" w:type="dxa"/>
        </w:tblCellMar>
      </w:tblPr>
      <w:tblGrid>
        <w:gridCol w:w="4536"/>
        <w:gridCol w:w="4182"/>
      </w:tblGrid>
      <w:tr w14:paraId="7A0505C5">
        <w:tblPrEx>
          <w:tblCellMar>
            <w:top w:w="0" w:type="dxa"/>
            <w:left w:w="108" w:type="dxa"/>
            <w:bottom w:w="0" w:type="dxa"/>
            <w:right w:w="108" w:type="dxa"/>
          </w:tblCellMar>
        </w:tblPrEx>
        <w:tc>
          <w:tcPr>
            <w:tcW w:w="4536" w:type="dxa"/>
            <w:noWrap w:val="0"/>
            <w:vAlign w:val="top"/>
          </w:tcPr>
          <w:p w14:paraId="20E776B3">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rPr>
              <w:t>甲方</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盖章</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w:t>
            </w:r>
            <w:r>
              <w:rPr>
                <w:rFonts w:hint="eastAsia" w:asciiTheme="minorEastAsia" w:hAnsiTheme="minorEastAsia" w:cstheme="minorEastAsia"/>
                <w:spacing w:val="10"/>
                <w:sz w:val="21"/>
                <w:szCs w:val="21"/>
                <w:lang w:val="en-US" w:eastAsia="zh-CN"/>
              </w:rPr>
              <w:t>安徽环巢湖生态发展</w:t>
            </w:r>
            <w:r>
              <w:rPr>
                <w:rFonts w:hint="eastAsia" w:asciiTheme="minorEastAsia" w:hAnsiTheme="minorEastAsia" w:eastAsiaTheme="minorEastAsia" w:cstheme="minorEastAsia"/>
                <w:spacing w:val="10"/>
                <w:sz w:val="21"/>
                <w:szCs w:val="21"/>
                <w:lang w:val="en-US" w:eastAsia="zh-CN"/>
              </w:rPr>
              <w:t>有限公司</w:t>
            </w:r>
          </w:p>
        </w:tc>
        <w:tc>
          <w:tcPr>
            <w:tcW w:w="4182" w:type="dxa"/>
            <w:noWrap w:val="0"/>
            <w:vAlign w:val="top"/>
          </w:tcPr>
          <w:p w14:paraId="328E9ABB">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乙方</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盖章</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w:t>
            </w:r>
          </w:p>
        </w:tc>
      </w:tr>
      <w:tr w14:paraId="7BAD0EDA">
        <w:tblPrEx>
          <w:tblCellMar>
            <w:top w:w="0" w:type="dxa"/>
            <w:left w:w="108" w:type="dxa"/>
            <w:bottom w:w="0" w:type="dxa"/>
            <w:right w:w="108" w:type="dxa"/>
          </w:tblCellMar>
        </w:tblPrEx>
        <w:tc>
          <w:tcPr>
            <w:tcW w:w="4536" w:type="dxa"/>
            <w:noWrap w:val="0"/>
            <w:vAlign w:val="top"/>
          </w:tcPr>
          <w:p w14:paraId="3BF06C7A">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甲方代表</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签</w:t>
            </w:r>
            <w:r>
              <w:rPr>
                <w:rFonts w:hint="eastAsia" w:asciiTheme="minorEastAsia" w:hAnsiTheme="minorEastAsia" w:eastAsiaTheme="minorEastAsia" w:cstheme="minorEastAsia"/>
                <w:spacing w:val="10"/>
                <w:sz w:val="21"/>
                <w:szCs w:val="21"/>
                <w:lang w:val="en-US" w:eastAsia="zh-CN"/>
              </w:rPr>
              <w:t>名）</w:t>
            </w:r>
            <w:r>
              <w:rPr>
                <w:rFonts w:hint="eastAsia" w:asciiTheme="minorEastAsia" w:hAnsiTheme="minorEastAsia" w:eastAsiaTheme="minorEastAsia" w:cstheme="minorEastAsia"/>
                <w:spacing w:val="10"/>
                <w:sz w:val="21"/>
                <w:szCs w:val="21"/>
              </w:rPr>
              <w:t>：</w:t>
            </w:r>
          </w:p>
        </w:tc>
        <w:tc>
          <w:tcPr>
            <w:tcW w:w="4182" w:type="dxa"/>
            <w:noWrap w:val="0"/>
            <w:vAlign w:val="top"/>
          </w:tcPr>
          <w:p w14:paraId="2107A7F3">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乙方代表</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签</w:t>
            </w:r>
            <w:r>
              <w:rPr>
                <w:rFonts w:hint="eastAsia" w:asciiTheme="minorEastAsia" w:hAnsiTheme="minorEastAsia" w:eastAsiaTheme="minorEastAsia" w:cstheme="minorEastAsia"/>
                <w:spacing w:val="10"/>
                <w:sz w:val="21"/>
                <w:szCs w:val="21"/>
                <w:lang w:val="en-US" w:eastAsia="zh-CN"/>
              </w:rPr>
              <w:t>名）</w:t>
            </w:r>
            <w:r>
              <w:rPr>
                <w:rFonts w:hint="eastAsia" w:asciiTheme="minorEastAsia" w:hAnsiTheme="minorEastAsia" w:eastAsiaTheme="minorEastAsia" w:cstheme="minorEastAsia"/>
                <w:spacing w:val="10"/>
                <w:sz w:val="21"/>
                <w:szCs w:val="21"/>
              </w:rPr>
              <w:t>：</w:t>
            </w:r>
          </w:p>
        </w:tc>
      </w:tr>
      <w:tr w14:paraId="4C6F2798">
        <w:tblPrEx>
          <w:tblCellMar>
            <w:top w:w="0" w:type="dxa"/>
            <w:left w:w="108" w:type="dxa"/>
            <w:bottom w:w="0" w:type="dxa"/>
            <w:right w:w="108" w:type="dxa"/>
          </w:tblCellMar>
        </w:tblPrEx>
        <w:tc>
          <w:tcPr>
            <w:tcW w:w="4536" w:type="dxa"/>
            <w:noWrap w:val="0"/>
            <w:vAlign w:val="top"/>
          </w:tcPr>
          <w:p w14:paraId="15544ED7">
            <w:pPr>
              <w:keepNext w:val="0"/>
              <w:keepLines w:val="0"/>
              <w:pageBreakBefore w:val="0"/>
              <w:kinsoku/>
              <w:wordWrap/>
              <w:overflowPunct/>
              <w:topLinePunct w:val="0"/>
              <w:autoSpaceDE/>
              <w:autoSpaceDN/>
              <w:bidi w:val="0"/>
              <w:snapToGrid w:val="0"/>
              <w:spacing w:line="520" w:lineRule="atLeast"/>
              <w:textAlignment w:val="auto"/>
              <w:rPr>
                <w:rFonts w:hint="default"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rPr>
              <w:t>地址：</w:t>
            </w:r>
            <w:r>
              <w:rPr>
                <w:rFonts w:hint="eastAsia" w:asciiTheme="minorEastAsia" w:hAnsiTheme="minorEastAsia" w:cstheme="minorEastAsia"/>
                <w:spacing w:val="10"/>
                <w:sz w:val="21"/>
                <w:szCs w:val="21"/>
                <w:lang w:val="en-US" w:eastAsia="zh-CN"/>
              </w:rPr>
              <w:t>巢湖市巢庐路东庵森林公园</w:t>
            </w:r>
          </w:p>
        </w:tc>
        <w:tc>
          <w:tcPr>
            <w:tcW w:w="4182" w:type="dxa"/>
            <w:noWrap w:val="0"/>
            <w:vAlign w:val="top"/>
          </w:tcPr>
          <w:p w14:paraId="402B47FC">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地址：</w:t>
            </w:r>
          </w:p>
        </w:tc>
      </w:tr>
      <w:tr w14:paraId="02CE2FF1">
        <w:tblPrEx>
          <w:tblCellMar>
            <w:top w:w="0" w:type="dxa"/>
            <w:left w:w="108" w:type="dxa"/>
            <w:bottom w:w="0" w:type="dxa"/>
            <w:right w:w="108" w:type="dxa"/>
          </w:tblCellMar>
        </w:tblPrEx>
        <w:tc>
          <w:tcPr>
            <w:tcW w:w="4536" w:type="dxa"/>
            <w:noWrap w:val="0"/>
            <w:vAlign w:val="top"/>
          </w:tcPr>
          <w:p w14:paraId="25D44813">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邮编：</w:t>
            </w:r>
          </w:p>
        </w:tc>
        <w:tc>
          <w:tcPr>
            <w:tcW w:w="4182" w:type="dxa"/>
            <w:noWrap w:val="0"/>
            <w:vAlign w:val="top"/>
          </w:tcPr>
          <w:p w14:paraId="3D8FD1A0">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邮编：</w:t>
            </w:r>
          </w:p>
        </w:tc>
      </w:tr>
      <w:tr w14:paraId="4EEADFE2">
        <w:tblPrEx>
          <w:tblCellMar>
            <w:top w:w="0" w:type="dxa"/>
            <w:left w:w="108" w:type="dxa"/>
            <w:bottom w:w="0" w:type="dxa"/>
            <w:right w:w="108" w:type="dxa"/>
          </w:tblCellMar>
        </w:tblPrEx>
        <w:tc>
          <w:tcPr>
            <w:tcW w:w="4536" w:type="dxa"/>
            <w:noWrap w:val="0"/>
            <w:vAlign w:val="top"/>
          </w:tcPr>
          <w:p w14:paraId="38B47A8A">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联系人：</w:t>
            </w:r>
          </w:p>
        </w:tc>
        <w:tc>
          <w:tcPr>
            <w:tcW w:w="4182" w:type="dxa"/>
            <w:noWrap w:val="0"/>
            <w:vAlign w:val="top"/>
          </w:tcPr>
          <w:p w14:paraId="6683BD6F">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联系人：</w:t>
            </w:r>
          </w:p>
        </w:tc>
      </w:tr>
      <w:tr w14:paraId="1A2CDBD4">
        <w:tblPrEx>
          <w:tblCellMar>
            <w:top w:w="0" w:type="dxa"/>
            <w:left w:w="108" w:type="dxa"/>
            <w:bottom w:w="0" w:type="dxa"/>
            <w:right w:w="108" w:type="dxa"/>
          </w:tblCellMar>
        </w:tblPrEx>
        <w:tc>
          <w:tcPr>
            <w:tcW w:w="4536" w:type="dxa"/>
            <w:noWrap w:val="0"/>
            <w:vAlign w:val="top"/>
          </w:tcPr>
          <w:p w14:paraId="2B460698">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电话：</w:t>
            </w:r>
          </w:p>
        </w:tc>
        <w:tc>
          <w:tcPr>
            <w:tcW w:w="4182" w:type="dxa"/>
            <w:noWrap w:val="0"/>
            <w:vAlign w:val="top"/>
          </w:tcPr>
          <w:p w14:paraId="2B2A7EE0">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电话：</w:t>
            </w:r>
          </w:p>
        </w:tc>
      </w:tr>
      <w:tr w14:paraId="3B59022D">
        <w:tblPrEx>
          <w:tblCellMar>
            <w:top w:w="0" w:type="dxa"/>
            <w:left w:w="108" w:type="dxa"/>
            <w:bottom w:w="0" w:type="dxa"/>
            <w:right w:w="108" w:type="dxa"/>
          </w:tblCellMar>
        </w:tblPrEx>
        <w:tc>
          <w:tcPr>
            <w:tcW w:w="4536" w:type="dxa"/>
            <w:noWrap w:val="0"/>
            <w:vAlign w:val="top"/>
          </w:tcPr>
          <w:p w14:paraId="35B0E782">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传真：</w:t>
            </w:r>
          </w:p>
        </w:tc>
        <w:tc>
          <w:tcPr>
            <w:tcW w:w="4182" w:type="dxa"/>
            <w:noWrap w:val="0"/>
            <w:vAlign w:val="top"/>
          </w:tcPr>
          <w:p w14:paraId="312C5DD2">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传真：</w:t>
            </w:r>
          </w:p>
        </w:tc>
      </w:tr>
      <w:bookmarkEnd w:id="12"/>
    </w:tbl>
    <w:p w14:paraId="16EAA532">
      <w:pPr>
        <w:adjustRightInd/>
        <w:snapToGrid/>
        <w:spacing w:before="120" w:beforeLines="50" w:after="72" w:afterLines="30" w:line="360" w:lineRule="auto"/>
        <w:rPr>
          <w:rFonts w:hint="eastAsia" w:asciiTheme="minorEastAsia" w:hAnsiTheme="minorEastAsia" w:eastAsiaTheme="minorEastAsia" w:cstheme="minorEastAsia"/>
          <w:color w:val="000000"/>
          <w:szCs w:val="21"/>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0307F654">
      <w:pPr>
        <w:spacing w:line="520" w:lineRule="exact"/>
        <w:jc w:val="center"/>
        <w:outlineLvl w:val="0"/>
        <w:rPr>
          <w:rFonts w:hint="eastAsia" w:ascii="微软雅黑" w:hAnsi="宋体" w:eastAsia="微软雅黑"/>
          <w:bCs/>
          <w:sz w:val="44"/>
          <w:szCs w:val="44"/>
        </w:rPr>
      </w:pPr>
    </w:p>
    <w:p w14:paraId="65F11DC4">
      <w:pPr>
        <w:spacing w:line="420" w:lineRule="exact"/>
        <w:jc w:val="center"/>
        <w:rPr>
          <w:rFonts w:ascii="方正小标宋简体" w:hAnsi="宋体" w:eastAsia="方正小标宋简体"/>
          <w:sz w:val="44"/>
          <w:szCs w:val="44"/>
        </w:rPr>
      </w:pPr>
      <w:bookmarkStart w:id="13" w:name="_Toc2404"/>
      <w:bookmarkStart w:id="14" w:name="_Toc13610"/>
      <w:bookmarkStart w:id="15" w:name="_Toc13124"/>
    </w:p>
    <w:p w14:paraId="34E96B60">
      <w:pPr>
        <w:spacing w:line="520" w:lineRule="exact"/>
        <w:jc w:val="center"/>
        <w:outlineLvl w:val="0"/>
        <w:rPr>
          <w:rFonts w:ascii="方正小标宋简体" w:hAnsi="宋体" w:eastAsia="方正小标宋简体"/>
          <w:bCs/>
          <w:sz w:val="44"/>
          <w:szCs w:val="44"/>
        </w:rPr>
      </w:pPr>
      <w:r>
        <w:rPr>
          <w:rFonts w:hint="eastAsia" w:ascii="方正小标宋简体" w:hAnsi="宋体" w:eastAsia="方正小标宋简体"/>
          <w:bCs/>
          <w:sz w:val="44"/>
          <w:szCs w:val="44"/>
        </w:rPr>
        <w:t xml:space="preserve">廉  </w:t>
      </w:r>
      <w:r>
        <w:rPr>
          <w:rFonts w:hint="eastAsia" w:ascii="方正小标宋简体" w:hAnsi="宋体" w:eastAsia="方正小标宋简体"/>
          <w:bCs/>
          <w:sz w:val="44"/>
          <w:szCs w:val="44"/>
          <w:lang w:val="en-US" w:eastAsia="zh-CN"/>
        </w:rPr>
        <w:t>洁</w:t>
      </w:r>
      <w:r>
        <w:rPr>
          <w:rFonts w:hint="eastAsia" w:ascii="方正小标宋简体" w:hAnsi="宋体" w:eastAsia="方正小标宋简体"/>
          <w:bCs/>
          <w:sz w:val="44"/>
          <w:szCs w:val="44"/>
        </w:rPr>
        <w:t xml:space="preserve">  协  议</w:t>
      </w:r>
      <w:bookmarkEnd w:id="13"/>
      <w:bookmarkEnd w:id="14"/>
      <w:bookmarkEnd w:id="15"/>
    </w:p>
    <w:p w14:paraId="48BC3749">
      <w:pPr>
        <w:spacing w:line="420" w:lineRule="exact"/>
        <w:ind w:firstLine="420" w:firstLineChars="200"/>
        <w:rPr>
          <w:rFonts w:hAnsi="宋体"/>
          <w:szCs w:val="24"/>
        </w:rPr>
      </w:pPr>
    </w:p>
    <w:p w14:paraId="19F220F8">
      <w:pPr>
        <w:spacing w:line="440" w:lineRule="exact"/>
        <w:ind w:firstLine="420" w:firstLineChars="200"/>
        <w:rPr>
          <w:rFonts w:hint="default" w:hAnsi="宋体"/>
          <w:szCs w:val="24"/>
          <w:lang w:val="en-US"/>
        </w:rPr>
      </w:pPr>
      <w:r>
        <w:rPr>
          <w:rFonts w:hint="eastAsia" w:hAnsi="宋体"/>
          <w:szCs w:val="24"/>
        </w:rPr>
        <w:t>甲方：</w:t>
      </w:r>
      <w:r>
        <w:rPr>
          <w:rFonts w:hint="eastAsia" w:hAnsi="宋体" w:cs="@仿宋_GB2312"/>
          <w:szCs w:val="20"/>
          <w:u w:val="single"/>
          <w:lang w:val="en-US" w:eastAsia="zh-CN"/>
        </w:rPr>
        <w:t xml:space="preserve">                        </w:t>
      </w:r>
    </w:p>
    <w:p w14:paraId="1F0157D2">
      <w:pPr>
        <w:spacing w:line="440" w:lineRule="exact"/>
        <w:ind w:firstLine="420" w:firstLineChars="200"/>
        <w:rPr>
          <w:rFonts w:hint="default" w:hAnsi="宋体" w:eastAsia="宋体"/>
          <w:szCs w:val="24"/>
          <w:u w:val="single"/>
          <w:lang w:val="en-US" w:eastAsia="zh-CN"/>
        </w:rPr>
      </w:pPr>
      <w:r>
        <w:rPr>
          <w:rFonts w:hint="eastAsia" w:hAnsi="宋体"/>
          <w:szCs w:val="24"/>
        </w:rPr>
        <w:t>乙方：</w:t>
      </w:r>
      <w:r>
        <w:rPr>
          <w:rFonts w:hint="eastAsia" w:hAnsi="宋体" w:cs="@仿宋_GB2312"/>
          <w:szCs w:val="20"/>
          <w:u w:val="single"/>
          <w:lang w:val="en-US" w:eastAsia="zh-CN"/>
        </w:rPr>
        <w:t xml:space="preserve">                        </w:t>
      </w:r>
    </w:p>
    <w:p w14:paraId="3CA7E396">
      <w:pPr>
        <w:spacing w:line="440" w:lineRule="exact"/>
        <w:ind w:firstLine="420" w:firstLineChars="200"/>
        <w:rPr>
          <w:rFonts w:hAnsi="宋体"/>
          <w:szCs w:val="24"/>
        </w:rPr>
      </w:pPr>
    </w:p>
    <w:p w14:paraId="17A3AED4">
      <w:pPr>
        <w:spacing w:line="440" w:lineRule="exact"/>
        <w:ind w:firstLine="420" w:firstLineChars="200"/>
        <w:rPr>
          <w:rFonts w:hAnsi="宋体"/>
          <w:szCs w:val="24"/>
        </w:rPr>
      </w:pPr>
      <w:r>
        <w:rPr>
          <w:rFonts w:hint="eastAsia" w:hAnsi="宋体"/>
          <w:szCs w:val="24"/>
        </w:rPr>
        <w:t>为进一步完善监督制约机制，防止发生各种牟取不正当利益的违法违纪行为，促进双方诚信经营、廉洁从业，防范商业贿赂，保护国家、集体和当事人的合法权益，根据国家有关法律法规和省、市</w:t>
      </w:r>
      <w:r>
        <w:rPr>
          <w:rFonts w:hint="eastAsia" w:hAnsi="宋体"/>
          <w:szCs w:val="24"/>
          <w:lang w:val="en-US" w:eastAsia="zh-CN"/>
        </w:rPr>
        <w:t>有关</w:t>
      </w:r>
      <w:r>
        <w:rPr>
          <w:rFonts w:hint="eastAsia" w:hAnsi="宋体"/>
          <w:szCs w:val="24"/>
        </w:rPr>
        <w:t>规定，甲乙双方自愿签订本廉</w:t>
      </w:r>
      <w:r>
        <w:rPr>
          <w:rFonts w:hint="eastAsia" w:hAnsi="宋体"/>
          <w:szCs w:val="24"/>
          <w:lang w:val="en-US" w:eastAsia="zh-CN"/>
        </w:rPr>
        <w:t>洁</w:t>
      </w:r>
      <w:r>
        <w:rPr>
          <w:rFonts w:hint="eastAsia" w:hAnsi="宋体"/>
          <w:szCs w:val="24"/>
        </w:rPr>
        <w:t>协议，共同遵照执行。</w:t>
      </w:r>
    </w:p>
    <w:p w14:paraId="4376AC3B">
      <w:pPr>
        <w:spacing w:line="440" w:lineRule="exact"/>
        <w:ind w:firstLine="422" w:firstLineChars="200"/>
        <w:rPr>
          <w:rFonts w:hAnsi="宋体"/>
          <w:szCs w:val="24"/>
        </w:rPr>
      </w:pPr>
      <w:r>
        <w:rPr>
          <w:rFonts w:hint="eastAsia" w:hAnsi="宋体"/>
          <w:b/>
          <w:szCs w:val="24"/>
        </w:rPr>
        <w:t>第一条</w:t>
      </w:r>
      <w:r>
        <w:rPr>
          <w:rFonts w:hint="eastAsia" w:hAnsi="宋体"/>
          <w:szCs w:val="24"/>
        </w:rPr>
        <w:t xml:space="preserve">  甲乙双方的权利和义务</w:t>
      </w:r>
    </w:p>
    <w:p w14:paraId="5BC70395">
      <w:pPr>
        <w:spacing w:line="440" w:lineRule="exact"/>
        <w:ind w:firstLine="420" w:firstLineChars="200"/>
        <w:rPr>
          <w:rFonts w:hAnsi="宋体"/>
          <w:szCs w:val="24"/>
        </w:rPr>
      </w:pPr>
      <w:r>
        <w:rPr>
          <w:rFonts w:hint="eastAsia" w:hAnsi="宋体"/>
          <w:szCs w:val="24"/>
        </w:rPr>
        <w:t>（一）甲乙双方自觉遵守《中华人民共和国反不正当竞争法》、最高人民检察院、最高人民法院《关于办理受贿刑事案件适用法律若干问题的意见》、国家工商行政管理局《关于禁止商业贿赂行为的暂行规定》及相关法律法规和廉</w:t>
      </w:r>
      <w:r>
        <w:rPr>
          <w:rFonts w:hint="eastAsia" w:hAnsi="宋体"/>
          <w:szCs w:val="24"/>
          <w:lang w:val="en-US" w:eastAsia="zh-CN"/>
        </w:rPr>
        <w:t>洁</w:t>
      </w:r>
      <w:r>
        <w:rPr>
          <w:rFonts w:hint="eastAsia" w:hAnsi="宋体"/>
          <w:szCs w:val="24"/>
        </w:rPr>
        <w:t>建设的规定。</w:t>
      </w:r>
    </w:p>
    <w:p w14:paraId="7FDF2D11">
      <w:pPr>
        <w:spacing w:line="440" w:lineRule="exact"/>
        <w:ind w:firstLine="420" w:firstLineChars="200"/>
        <w:rPr>
          <w:rFonts w:hAnsi="宋体"/>
          <w:szCs w:val="24"/>
        </w:rPr>
      </w:pPr>
      <w:r>
        <w:rPr>
          <w:rFonts w:hint="eastAsia" w:hAnsi="宋体"/>
          <w:szCs w:val="24"/>
        </w:rPr>
        <w:t>（二）严格执行合同的要求，自觉履行合同约定的相关义务。</w:t>
      </w:r>
    </w:p>
    <w:p w14:paraId="51E422DD">
      <w:pPr>
        <w:spacing w:line="440" w:lineRule="exact"/>
        <w:ind w:firstLine="420" w:firstLineChars="200"/>
        <w:rPr>
          <w:rFonts w:hAnsi="宋体"/>
          <w:szCs w:val="24"/>
        </w:rPr>
      </w:pPr>
      <w:r>
        <w:rPr>
          <w:rFonts w:hint="eastAsia" w:hAnsi="宋体"/>
          <w:szCs w:val="24"/>
        </w:rPr>
        <w:t>（三）在业务活动中坚持公开、公正、诚信、透明的原则，不得损害国家、集体利益。</w:t>
      </w:r>
    </w:p>
    <w:p w14:paraId="5C2B3D96">
      <w:pPr>
        <w:spacing w:line="440" w:lineRule="exact"/>
        <w:ind w:firstLine="420" w:firstLineChars="200"/>
        <w:rPr>
          <w:rFonts w:hAnsi="宋体"/>
          <w:szCs w:val="24"/>
        </w:rPr>
      </w:pPr>
      <w:r>
        <w:rPr>
          <w:rFonts w:hint="eastAsia" w:hAnsi="宋体"/>
          <w:szCs w:val="24"/>
        </w:rPr>
        <w:t>（四）建立健全廉</w:t>
      </w:r>
      <w:r>
        <w:rPr>
          <w:rFonts w:hint="eastAsia" w:hAnsi="宋体"/>
          <w:szCs w:val="24"/>
          <w:lang w:val="en-US" w:eastAsia="zh-CN"/>
        </w:rPr>
        <w:t>洁</w:t>
      </w:r>
      <w:r>
        <w:rPr>
          <w:rFonts w:hint="eastAsia" w:hAnsi="宋体"/>
          <w:szCs w:val="24"/>
        </w:rPr>
        <w:t>制度，开展廉</w:t>
      </w:r>
      <w:r>
        <w:rPr>
          <w:rFonts w:hint="eastAsia" w:hAnsi="宋体"/>
          <w:szCs w:val="24"/>
          <w:lang w:val="en-US" w:eastAsia="zh-CN"/>
        </w:rPr>
        <w:t>洁</w:t>
      </w:r>
      <w:r>
        <w:rPr>
          <w:rFonts w:hint="eastAsia" w:hAnsi="宋体"/>
          <w:szCs w:val="24"/>
        </w:rPr>
        <w:t>教育，公布举报电话，监督并认真查处违法违纪行为。</w:t>
      </w:r>
    </w:p>
    <w:p w14:paraId="0501A669">
      <w:pPr>
        <w:spacing w:line="440" w:lineRule="exact"/>
        <w:ind w:firstLine="420" w:firstLineChars="200"/>
        <w:rPr>
          <w:rFonts w:hAnsi="宋体"/>
          <w:szCs w:val="24"/>
        </w:rPr>
      </w:pPr>
      <w:r>
        <w:rPr>
          <w:rFonts w:hint="eastAsia" w:hAnsi="宋体"/>
          <w:szCs w:val="24"/>
        </w:rPr>
        <w:t>（五）发现对方在业务活动中有违反廉</w:t>
      </w:r>
      <w:r>
        <w:rPr>
          <w:rFonts w:hint="eastAsia" w:hAnsi="宋体"/>
          <w:szCs w:val="24"/>
          <w:lang w:val="en-US" w:eastAsia="zh-CN"/>
        </w:rPr>
        <w:t>洁</w:t>
      </w:r>
      <w:r>
        <w:rPr>
          <w:rFonts w:hint="eastAsia" w:hAnsi="宋体"/>
          <w:szCs w:val="24"/>
        </w:rPr>
        <w:t>规定的行为，应及时提醒对方纠正。情节严重的，应向其上级有关部门举报、建议给予处理，并有权要求告知处理结果。</w:t>
      </w:r>
    </w:p>
    <w:p w14:paraId="5FD0F55E">
      <w:pPr>
        <w:spacing w:line="440" w:lineRule="exact"/>
        <w:ind w:firstLine="422" w:firstLineChars="200"/>
        <w:rPr>
          <w:rFonts w:hAnsi="宋体"/>
          <w:szCs w:val="24"/>
        </w:rPr>
      </w:pPr>
      <w:r>
        <w:rPr>
          <w:rFonts w:hint="eastAsia" w:hAnsi="宋体"/>
          <w:b/>
          <w:szCs w:val="24"/>
        </w:rPr>
        <w:t>第二条</w:t>
      </w:r>
      <w:r>
        <w:rPr>
          <w:rFonts w:hint="eastAsia" w:hAnsi="宋体"/>
          <w:szCs w:val="24"/>
        </w:rPr>
        <w:t xml:space="preserve">  甲方的义务</w:t>
      </w:r>
    </w:p>
    <w:p w14:paraId="68E34059">
      <w:pPr>
        <w:spacing w:line="440" w:lineRule="exact"/>
        <w:ind w:firstLine="420" w:firstLineChars="200"/>
        <w:rPr>
          <w:rFonts w:hAnsi="宋体"/>
          <w:szCs w:val="24"/>
        </w:rPr>
      </w:pPr>
      <w:r>
        <w:rPr>
          <w:rFonts w:hint="eastAsia" w:hAnsi="宋体"/>
          <w:szCs w:val="24"/>
        </w:rPr>
        <w:t>（一）甲方及其工作人员不得索要或接受乙方的礼金、有价证券和贵重物品，不得在乙方报销任何应由甲方单位或个人支付的费用等。</w:t>
      </w:r>
    </w:p>
    <w:p w14:paraId="5E76A1B6">
      <w:pPr>
        <w:spacing w:line="440" w:lineRule="exact"/>
        <w:ind w:firstLine="420" w:firstLineChars="200"/>
        <w:rPr>
          <w:rFonts w:hAnsi="宋体"/>
          <w:szCs w:val="24"/>
        </w:rPr>
      </w:pPr>
      <w:r>
        <w:rPr>
          <w:rFonts w:hint="eastAsia" w:hAnsi="宋体"/>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66DC8C02">
      <w:pPr>
        <w:spacing w:line="440" w:lineRule="exact"/>
        <w:ind w:firstLine="420" w:firstLineChars="200"/>
        <w:rPr>
          <w:rFonts w:hAnsi="宋体"/>
          <w:szCs w:val="24"/>
        </w:rPr>
      </w:pPr>
      <w:r>
        <w:rPr>
          <w:rFonts w:hint="eastAsia" w:hAnsi="宋体"/>
          <w:szCs w:val="24"/>
        </w:rPr>
        <w:t>（三）甲方及其工作人员不得要求或者接受乙方为其住房装修、婚丧嫁娶活动、配偶子女工作安排以及出国出境、旅游等提供方便等。</w:t>
      </w:r>
    </w:p>
    <w:p w14:paraId="21A1C980">
      <w:pPr>
        <w:spacing w:line="440" w:lineRule="exact"/>
        <w:ind w:firstLine="420" w:firstLineChars="200"/>
        <w:rPr>
          <w:rFonts w:hAnsi="宋体"/>
          <w:szCs w:val="24"/>
        </w:rPr>
      </w:pPr>
      <w:r>
        <w:rPr>
          <w:rFonts w:hint="eastAsia" w:hAnsi="宋体"/>
          <w:szCs w:val="24"/>
        </w:rPr>
        <w:t>（四）甲方工作人员不得在乙方有关联的企业兼职，不得向乙方介绍家属或者亲友从事与甲方业务有关的经济活动。</w:t>
      </w:r>
    </w:p>
    <w:p w14:paraId="2EFEDC3B">
      <w:pPr>
        <w:spacing w:line="440" w:lineRule="exact"/>
        <w:ind w:firstLine="420" w:firstLineChars="200"/>
        <w:rPr>
          <w:rFonts w:hAnsi="宋体"/>
          <w:szCs w:val="24"/>
        </w:rPr>
      </w:pPr>
      <w:r>
        <w:rPr>
          <w:rFonts w:hint="eastAsia" w:hAnsi="宋体"/>
          <w:szCs w:val="24"/>
        </w:rPr>
        <w:t>（五）甲方工作人员不得以明显低于市场的价格向乙方购买房屋、汽车等物品；不得以明显高于市场的价格向乙方出售房屋、汽车等物品；不得以其他交易形式非法收受请托人财物。</w:t>
      </w:r>
    </w:p>
    <w:p w14:paraId="5DDFF780">
      <w:pPr>
        <w:spacing w:line="440" w:lineRule="exact"/>
        <w:ind w:firstLine="420" w:firstLineChars="200"/>
        <w:rPr>
          <w:rFonts w:hAnsi="宋体"/>
          <w:szCs w:val="24"/>
        </w:rPr>
      </w:pPr>
      <w:r>
        <w:rPr>
          <w:rFonts w:hint="eastAsia" w:hAnsi="宋体"/>
          <w:szCs w:val="24"/>
        </w:rPr>
        <w:t>（六）甲方工作人员不得利用职务之便收受乙方以回扣、手续费、加班费、咨询费、劳务费、协调费等各种名义给予或赠送的钱物。</w:t>
      </w:r>
    </w:p>
    <w:p w14:paraId="59611438">
      <w:pPr>
        <w:spacing w:line="440" w:lineRule="exact"/>
        <w:ind w:firstLine="420" w:firstLineChars="200"/>
        <w:rPr>
          <w:rFonts w:hAnsi="宋体"/>
          <w:szCs w:val="24"/>
        </w:rPr>
      </w:pPr>
      <w:r>
        <w:rPr>
          <w:rFonts w:hint="eastAsia" w:hAnsi="宋体"/>
          <w:szCs w:val="24"/>
        </w:rPr>
        <w:t>（七）甲方工作人员不得接受乙方给予或赠送的干股或红利。</w:t>
      </w:r>
    </w:p>
    <w:p w14:paraId="4EBF3215">
      <w:pPr>
        <w:spacing w:line="440" w:lineRule="exact"/>
        <w:ind w:firstLine="420" w:firstLineChars="200"/>
        <w:rPr>
          <w:rFonts w:hAnsi="宋体"/>
          <w:szCs w:val="24"/>
        </w:rPr>
      </w:pPr>
      <w:r>
        <w:rPr>
          <w:rFonts w:hint="eastAsia" w:hAnsi="宋体"/>
          <w:szCs w:val="24"/>
        </w:rPr>
        <w:t>（八）甲方任何人不得以个人的名义向乙方推荐设备、部件等供货商以及其他合作单位。</w:t>
      </w:r>
    </w:p>
    <w:p w14:paraId="4C91B6A4">
      <w:pPr>
        <w:spacing w:line="440" w:lineRule="exact"/>
        <w:ind w:firstLine="422" w:firstLineChars="200"/>
        <w:rPr>
          <w:rFonts w:hAnsi="宋体"/>
          <w:szCs w:val="24"/>
        </w:rPr>
      </w:pPr>
      <w:r>
        <w:rPr>
          <w:rFonts w:hint="eastAsia" w:hAnsi="宋体"/>
          <w:b/>
          <w:szCs w:val="24"/>
        </w:rPr>
        <w:t xml:space="preserve">第三条  </w:t>
      </w:r>
      <w:r>
        <w:rPr>
          <w:rFonts w:hint="eastAsia" w:hAnsi="宋体"/>
          <w:szCs w:val="24"/>
        </w:rPr>
        <w:t>乙方的义务</w:t>
      </w:r>
    </w:p>
    <w:p w14:paraId="7384B3AE">
      <w:pPr>
        <w:spacing w:line="440" w:lineRule="exact"/>
        <w:ind w:firstLine="420" w:firstLineChars="200"/>
        <w:rPr>
          <w:rFonts w:hAnsi="宋体"/>
          <w:szCs w:val="24"/>
        </w:rPr>
      </w:pPr>
      <w:r>
        <w:rPr>
          <w:rFonts w:hint="eastAsia" w:hAnsi="宋体"/>
          <w:szCs w:val="24"/>
        </w:rPr>
        <w:t>（一）乙方不得以任何理由向甲方及其工作人员行贿或馈赠礼金、有价证券、贵重礼品。</w:t>
      </w:r>
    </w:p>
    <w:p w14:paraId="1481CB14">
      <w:pPr>
        <w:spacing w:line="440" w:lineRule="exact"/>
        <w:ind w:firstLine="420" w:firstLineChars="200"/>
        <w:rPr>
          <w:rFonts w:hAnsi="宋体"/>
          <w:szCs w:val="24"/>
        </w:rPr>
      </w:pPr>
      <w:r>
        <w:rPr>
          <w:rFonts w:hint="eastAsia" w:hAnsi="宋体"/>
          <w:szCs w:val="24"/>
        </w:rPr>
        <w:t>（二)乙方不得以任何名义为甲方及其工作人员报销应由甲方单位或个人支付的任何费用。</w:t>
      </w:r>
    </w:p>
    <w:p w14:paraId="62E9E5D0">
      <w:pPr>
        <w:spacing w:line="440" w:lineRule="exact"/>
        <w:ind w:firstLine="420" w:firstLineChars="200"/>
        <w:rPr>
          <w:rFonts w:hAnsi="宋体"/>
          <w:szCs w:val="24"/>
        </w:rPr>
      </w:pPr>
      <w:r>
        <w:rPr>
          <w:rFonts w:hint="eastAsia" w:hAnsi="宋体"/>
          <w:szCs w:val="24"/>
        </w:rPr>
        <w:t>（三）乙方不得以任何理由安排甲方工作人员参加可能影响相关业务公开、公正、公平性的宴请及娱乐活动。</w:t>
      </w:r>
    </w:p>
    <w:p w14:paraId="7E8750AE">
      <w:pPr>
        <w:spacing w:line="440" w:lineRule="exact"/>
        <w:ind w:firstLine="420" w:firstLineChars="200"/>
        <w:rPr>
          <w:rFonts w:hAnsi="宋体"/>
          <w:szCs w:val="24"/>
        </w:rPr>
      </w:pPr>
      <w:r>
        <w:rPr>
          <w:rFonts w:hint="eastAsia" w:hAnsi="宋体"/>
          <w:szCs w:val="24"/>
        </w:rPr>
        <w:t>（四）乙方不得为甲方单位和个人购置或提供通讯工具和高档办公用品等物品，也不得为甲方提供与工作无关的房屋、汽车等。</w:t>
      </w:r>
    </w:p>
    <w:p w14:paraId="1A6C5097">
      <w:pPr>
        <w:spacing w:line="440" w:lineRule="exact"/>
        <w:ind w:firstLine="420" w:firstLineChars="200"/>
        <w:rPr>
          <w:rFonts w:hAnsi="宋体"/>
          <w:szCs w:val="24"/>
        </w:rPr>
      </w:pPr>
      <w:r>
        <w:rPr>
          <w:rFonts w:hint="eastAsia" w:hAnsi="宋体"/>
          <w:szCs w:val="24"/>
        </w:rPr>
        <w:t>（五）乙方不得与甲方工作人员就合同中的质量、数量、价格、工程量、验收等条款进行私下商谈或者达成默契。</w:t>
      </w:r>
    </w:p>
    <w:p w14:paraId="742D3991">
      <w:pPr>
        <w:spacing w:line="440" w:lineRule="exact"/>
        <w:ind w:firstLine="420" w:firstLineChars="200"/>
        <w:rPr>
          <w:rFonts w:hAnsi="宋体"/>
          <w:szCs w:val="24"/>
        </w:rPr>
      </w:pPr>
      <w:r>
        <w:rPr>
          <w:rFonts w:hint="eastAsia" w:hAnsi="宋体"/>
          <w:szCs w:val="24"/>
        </w:rPr>
        <w:t>（六）乙方不得以回扣、手续费、加班费、咨询费、劳务费等各种名义向甲方工作人员给予或赠送钱物。</w:t>
      </w:r>
    </w:p>
    <w:p w14:paraId="050197E9">
      <w:pPr>
        <w:spacing w:line="440" w:lineRule="exact"/>
        <w:ind w:firstLine="420" w:firstLineChars="200"/>
        <w:rPr>
          <w:rFonts w:hAnsi="宋体"/>
          <w:szCs w:val="24"/>
        </w:rPr>
      </w:pPr>
      <w:r>
        <w:rPr>
          <w:rFonts w:hint="eastAsia" w:hAnsi="宋体"/>
          <w:szCs w:val="24"/>
        </w:rPr>
        <w:t>（七）乙方不得向甲方工作人员提供干股或红利。</w:t>
      </w:r>
    </w:p>
    <w:p w14:paraId="02839DC0">
      <w:pPr>
        <w:spacing w:line="440" w:lineRule="exact"/>
        <w:ind w:firstLine="420" w:firstLineChars="200"/>
        <w:rPr>
          <w:rFonts w:hAnsi="宋体"/>
          <w:szCs w:val="24"/>
        </w:rPr>
      </w:pPr>
      <w:r>
        <w:rPr>
          <w:rFonts w:hint="eastAsia" w:hAnsi="宋体"/>
          <w:szCs w:val="24"/>
        </w:rPr>
        <w:t>（八）乙方须按合肥文旅博览集团有限公司纪委要求开展相关工作。</w:t>
      </w:r>
    </w:p>
    <w:p w14:paraId="7A5EA67D">
      <w:pPr>
        <w:spacing w:line="440" w:lineRule="exact"/>
        <w:ind w:firstLine="422" w:firstLineChars="200"/>
        <w:rPr>
          <w:rFonts w:hAnsi="宋体"/>
          <w:szCs w:val="24"/>
        </w:rPr>
      </w:pPr>
      <w:r>
        <w:rPr>
          <w:rFonts w:hint="eastAsia" w:hAnsi="宋体"/>
          <w:b/>
          <w:szCs w:val="24"/>
        </w:rPr>
        <w:t>第四条</w:t>
      </w:r>
      <w:r>
        <w:rPr>
          <w:rFonts w:hint="eastAsia" w:hAnsi="宋体"/>
          <w:szCs w:val="24"/>
        </w:rPr>
        <w:t xml:space="preserve">  违约责任</w:t>
      </w:r>
    </w:p>
    <w:p w14:paraId="208FE124">
      <w:pPr>
        <w:spacing w:line="440" w:lineRule="exact"/>
        <w:ind w:firstLine="420" w:firstLineChars="200"/>
        <w:rPr>
          <w:rFonts w:hAnsi="宋体"/>
          <w:szCs w:val="24"/>
        </w:rPr>
      </w:pPr>
      <w:r>
        <w:rPr>
          <w:rFonts w:hint="eastAsia" w:hAnsi="宋体"/>
          <w:szCs w:val="24"/>
        </w:rPr>
        <w:t>（一）甲方及其工作人员违反本协议第一、二条规定。甲方按管理权限，对相关责任人依据有关规定给予党纪、政纪处分或组织处理；涉嫌犯罪的，移交司法机关追究刑事责任。</w:t>
      </w:r>
    </w:p>
    <w:p w14:paraId="28E4BECF">
      <w:pPr>
        <w:spacing w:line="440" w:lineRule="exact"/>
        <w:ind w:firstLine="420" w:firstLineChars="200"/>
        <w:jc w:val="left"/>
        <w:rPr>
          <w:rFonts w:hint="default" w:hAnsi="宋体" w:eastAsia="宋体"/>
          <w:szCs w:val="24"/>
          <w:lang w:val="en-US" w:eastAsia="zh-CN"/>
        </w:rPr>
      </w:pPr>
      <w:r>
        <w:rPr>
          <w:rFonts w:hint="eastAsia" w:hAnsi="宋体"/>
          <w:szCs w:val="24"/>
        </w:rPr>
        <w:t>投诉联系部门：</w:t>
      </w:r>
      <w:r>
        <w:rPr>
          <w:rFonts w:hint="eastAsia" w:hAnsi="宋体"/>
          <w:szCs w:val="24"/>
          <w:lang w:val="en-US" w:eastAsia="zh-CN"/>
        </w:rPr>
        <w:t>纪检监察室</w:t>
      </w:r>
      <w:r>
        <w:rPr>
          <w:rFonts w:hint="eastAsia" w:hAnsi="宋体"/>
          <w:szCs w:val="24"/>
        </w:rPr>
        <w:t>，联系电话</w:t>
      </w:r>
      <w:r>
        <w:rPr>
          <w:rFonts w:hint="eastAsia" w:hAnsi="宋体"/>
          <w:szCs w:val="24"/>
          <w:lang w:val="en-US" w:eastAsia="zh-CN"/>
        </w:rPr>
        <w:t>13635695905</w:t>
      </w:r>
      <w:r>
        <w:rPr>
          <w:rFonts w:hint="eastAsia" w:hAnsi="宋体"/>
          <w:szCs w:val="24"/>
        </w:rPr>
        <w:t>，举报邮箱：</w:t>
      </w:r>
      <w:r>
        <w:rPr>
          <w:rFonts w:hint="eastAsia" w:hAnsi="宋体"/>
          <w:szCs w:val="24"/>
          <w:lang w:val="en-US" w:eastAsia="zh-CN"/>
        </w:rPr>
        <w:t>3863585121@qq.com。</w:t>
      </w:r>
    </w:p>
    <w:p w14:paraId="79F447E5">
      <w:pPr>
        <w:spacing w:line="440" w:lineRule="exact"/>
        <w:ind w:firstLine="420" w:firstLineChars="200"/>
        <w:rPr>
          <w:rFonts w:hAnsi="宋体"/>
          <w:szCs w:val="24"/>
        </w:rPr>
      </w:pPr>
      <w:r>
        <w:rPr>
          <w:rFonts w:hint="eastAsia" w:hAnsi="宋体"/>
          <w:szCs w:val="24"/>
        </w:rPr>
        <w:t>（二）乙方及其工作人员违反本协议第一、三条规定。根据具体情节和造成的后果，甲方有权依据法律法规及合同约定对乙方采取以下一种或多种处理办法：</w:t>
      </w:r>
    </w:p>
    <w:p w14:paraId="174DEF65">
      <w:pPr>
        <w:spacing w:line="440" w:lineRule="exact"/>
        <w:ind w:firstLine="420" w:firstLineChars="200"/>
        <w:rPr>
          <w:rFonts w:hAnsi="宋体"/>
          <w:szCs w:val="24"/>
        </w:rPr>
      </w:pPr>
      <w:r>
        <w:rPr>
          <w:rFonts w:hint="eastAsia" w:hAnsi="宋体"/>
          <w:szCs w:val="24"/>
        </w:rPr>
        <w:t xml:space="preserve">1．向建设行政部门、招投标管理部门及乙方上级主管部门通报，建议作出相应处理； </w:t>
      </w:r>
    </w:p>
    <w:p w14:paraId="02EA70EC">
      <w:pPr>
        <w:spacing w:line="440" w:lineRule="exact"/>
        <w:ind w:firstLine="420" w:firstLineChars="200"/>
        <w:rPr>
          <w:rFonts w:hAnsi="宋体"/>
          <w:szCs w:val="24"/>
        </w:rPr>
      </w:pPr>
      <w:r>
        <w:rPr>
          <w:rFonts w:hint="eastAsia" w:hAnsi="宋体"/>
          <w:szCs w:val="24"/>
        </w:rPr>
        <w:t>2．甲方有权扣除乙方履约保证金全部或部分（视情节严重性而定）；</w:t>
      </w:r>
    </w:p>
    <w:p w14:paraId="06B3AE34">
      <w:pPr>
        <w:spacing w:line="440" w:lineRule="exact"/>
        <w:ind w:firstLine="420" w:firstLineChars="200"/>
        <w:rPr>
          <w:rFonts w:hAnsi="宋体"/>
          <w:szCs w:val="24"/>
        </w:rPr>
      </w:pPr>
      <w:r>
        <w:rPr>
          <w:rFonts w:hint="eastAsia" w:hAnsi="宋体"/>
          <w:szCs w:val="24"/>
        </w:rPr>
        <w:t>3．终止或解除双方已签订的包括（不限于）本合同在内的所有合同。</w:t>
      </w:r>
    </w:p>
    <w:p w14:paraId="5297778E">
      <w:pPr>
        <w:spacing w:line="440" w:lineRule="exact"/>
        <w:ind w:firstLine="420" w:firstLineChars="200"/>
        <w:rPr>
          <w:rFonts w:hAnsi="宋体"/>
          <w:szCs w:val="24"/>
        </w:rPr>
      </w:pPr>
      <w:r>
        <w:rPr>
          <w:rFonts w:hint="eastAsia" w:hAnsi="宋体"/>
          <w:szCs w:val="24"/>
        </w:rPr>
        <w:t>甲方作出的处理意见，乙方应无条件接受并承担给甲方造成的损失，全额返还通过不正当手段从甲方获取的非法所得，并承担相应的法律责任。</w:t>
      </w:r>
    </w:p>
    <w:p w14:paraId="0C3E484A">
      <w:pPr>
        <w:spacing w:line="440" w:lineRule="exact"/>
        <w:ind w:firstLine="422" w:firstLineChars="200"/>
        <w:rPr>
          <w:rFonts w:hAnsi="宋体"/>
          <w:szCs w:val="24"/>
        </w:rPr>
      </w:pPr>
      <w:r>
        <w:rPr>
          <w:rFonts w:hint="eastAsia" w:hAnsi="宋体"/>
          <w:b/>
          <w:szCs w:val="24"/>
        </w:rPr>
        <w:t>第五条</w:t>
      </w:r>
      <w:r>
        <w:rPr>
          <w:rFonts w:hint="eastAsia" w:hAnsi="宋体"/>
          <w:szCs w:val="24"/>
        </w:rPr>
        <w:t xml:space="preserve">  双方约定</w:t>
      </w:r>
    </w:p>
    <w:p w14:paraId="4794758F">
      <w:pPr>
        <w:spacing w:line="440" w:lineRule="exact"/>
        <w:ind w:firstLine="420" w:firstLineChars="200"/>
        <w:rPr>
          <w:rFonts w:hAnsi="宋体"/>
          <w:szCs w:val="24"/>
        </w:rPr>
      </w:pPr>
      <w:r>
        <w:rPr>
          <w:rFonts w:hint="eastAsia" w:hAnsi="宋体"/>
          <w:szCs w:val="24"/>
        </w:rPr>
        <w:t>本协议由双方或双方上级单位负责监督。可由甲方或甲方上级单位的纪检监察部门约请乙方或乙方上级单位的纪检监察部门对本协议履行情况进行检查，提出在本协议规定范围内的裁定意见。</w:t>
      </w:r>
    </w:p>
    <w:p w14:paraId="71CFDEDF">
      <w:pPr>
        <w:spacing w:line="440" w:lineRule="exact"/>
        <w:ind w:firstLine="422" w:firstLineChars="200"/>
        <w:rPr>
          <w:rFonts w:hAnsi="宋体"/>
          <w:szCs w:val="24"/>
        </w:rPr>
      </w:pPr>
      <w:r>
        <w:rPr>
          <w:rFonts w:hint="eastAsia" w:hAnsi="宋体"/>
          <w:b/>
          <w:szCs w:val="24"/>
        </w:rPr>
        <w:t xml:space="preserve">第六条  </w:t>
      </w:r>
      <w:r>
        <w:rPr>
          <w:rFonts w:hint="eastAsia" w:hAnsi="宋体"/>
          <w:szCs w:val="24"/>
        </w:rPr>
        <w:t xml:space="preserve">本协议有效期为甲乙双方签署之日起至合同终止。  </w:t>
      </w:r>
    </w:p>
    <w:p w14:paraId="6403677D">
      <w:pPr>
        <w:spacing w:line="440" w:lineRule="exact"/>
        <w:ind w:firstLine="422" w:firstLineChars="200"/>
        <w:rPr>
          <w:rFonts w:hAnsi="宋体"/>
          <w:szCs w:val="24"/>
        </w:rPr>
      </w:pPr>
      <w:r>
        <w:rPr>
          <w:rFonts w:hint="eastAsia" w:hAnsi="宋体"/>
          <w:b/>
          <w:szCs w:val="24"/>
        </w:rPr>
        <w:t xml:space="preserve">第七条 </w:t>
      </w:r>
      <w:r>
        <w:rPr>
          <w:rFonts w:hint="eastAsia" w:hAnsi="宋体"/>
          <w:szCs w:val="24"/>
        </w:rPr>
        <w:t xml:space="preserve"> 本协议作为合同的附件，与合同具有同等法律效力。</w:t>
      </w:r>
    </w:p>
    <w:p w14:paraId="64400A09">
      <w:pPr>
        <w:spacing w:line="440" w:lineRule="exact"/>
        <w:rPr>
          <w:rFonts w:hAnsi="宋体"/>
          <w:szCs w:val="24"/>
        </w:rPr>
      </w:pPr>
    </w:p>
    <w:p w14:paraId="61638797">
      <w:pPr>
        <w:spacing w:line="440" w:lineRule="exact"/>
        <w:ind w:firstLine="420" w:firstLineChars="200"/>
        <w:rPr>
          <w:rFonts w:hAnsi="宋体"/>
          <w:szCs w:val="24"/>
        </w:rPr>
      </w:pPr>
      <w:r>
        <w:rPr>
          <w:rFonts w:hint="eastAsia" w:hAnsi="宋体"/>
          <w:szCs w:val="24"/>
        </w:rPr>
        <w:t>甲方（盖章）：                   乙方（盖章）：</w:t>
      </w:r>
    </w:p>
    <w:p w14:paraId="304C69A1">
      <w:pPr>
        <w:spacing w:line="440" w:lineRule="exact"/>
        <w:ind w:firstLine="420" w:firstLineChars="200"/>
        <w:rPr>
          <w:rFonts w:hAnsi="宋体"/>
          <w:szCs w:val="24"/>
        </w:rPr>
      </w:pPr>
      <w:r>
        <w:rPr>
          <w:rFonts w:hint="eastAsia" w:hAnsi="宋体"/>
          <w:szCs w:val="24"/>
        </w:rPr>
        <w:t>法定代表人或</w:t>
      </w:r>
      <w:r>
        <w:rPr>
          <w:rFonts w:hint="eastAsia" w:hAnsi="宋体"/>
          <w:szCs w:val="24"/>
        </w:rPr>
        <w:tab/>
      </w:r>
      <w:r>
        <w:rPr>
          <w:rFonts w:hint="eastAsia" w:hAnsi="宋体"/>
          <w:szCs w:val="24"/>
        </w:rPr>
        <w:t xml:space="preserve">                    法定代表人或</w:t>
      </w:r>
    </w:p>
    <w:p w14:paraId="4A9D77F2">
      <w:pPr>
        <w:spacing w:line="440" w:lineRule="exact"/>
        <w:ind w:firstLine="420" w:firstLineChars="200"/>
        <w:rPr>
          <w:rFonts w:hAnsi="宋体"/>
          <w:szCs w:val="24"/>
        </w:rPr>
      </w:pPr>
      <w:r>
        <w:rPr>
          <w:rFonts w:hint="eastAsia" w:hAnsi="宋体"/>
          <w:szCs w:val="24"/>
        </w:rPr>
        <w:t>授权代表：   (职务)               授权代表：  （职务）</w:t>
      </w:r>
    </w:p>
    <w:p w14:paraId="6A4AC581">
      <w:pPr>
        <w:spacing w:line="440" w:lineRule="exact"/>
        <w:ind w:firstLine="420" w:firstLineChars="200"/>
        <w:rPr>
          <w:rFonts w:hAnsi="宋体"/>
          <w:szCs w:val="24"/>
        </w:rPr>
      </w:pPr>
      <w:r>
        <w:rPr>
          <w:rFonts w:hint="eastAsia" w:hAnsi="宋体"/>
          <w:szCs w:val="24"/>
        </w:rPr>
        <w:t>签字：                            签字：</w:t>
      </w:r>
    </w:p>
    <w:p w14:paraId="5427C350">
      <w:pPr>
        <w:spacing w:line="440" w:lineRule="exact"/>
        <w:ind w:firstLine="420" w:firstLineChars="200"/>
        <w:rPr>
          <w:rFonts w:hAnsi="宋体"/>
          <w:szCs w:val="24"/>
        </w:rPr>
      </w:pPr>
    </w:p>
    <w:p w14:paraId="7CCFE5C0">
      <w:pPr>
        <w:spacing w:line="440" w:lineRule="exact"/>
        <w:ind w:firstLine="420" w:firstLineChars="200"/>
        <w:rPr>
          <w:rFonts w:hAnsi="宋体"/>
          <w:szCs w:val="24"/>
        </w:rPr>
      </w:pPr>
    </w:p>
    <w:p w14:paraId="6A0059CC">
      <w:pPr>
        <w:spacing w:line="440" w:lineRule="exact"/>
        <w:ind w:firstLine="420" w:firstLineChars="200"/>
        <w:rPr>
          <w:rFonts w:hAnsi="宋体"/>
          <w:szCs w:val="24"/>
        </w:rPr>
      </w:pPr>
      <w:r>
        <w:rPr>
          <w:rFonts w:hint="eastAsia" w:hAnsi="宋体"/>
          <w:szCs w:val="24"/>
        </w:rPr>
        <w:t>廉</w:t>
      </w:r>
      <w:r>
        <w:rPr>
          <w:rFonts w:hint="eastAsia" w:hAnsi="宋体"/>
          <w:szCs w:val="24"/>
          <w:lang w:val="en-US" w:eastAsia="zh-CN"/>
        </w:rPr>
        <w:t>洁</w:t>
      </w:r>
      <w:r>
        <w:rPr>
          <w:rFonts w:hint="eastAsia" w:hAnsi="宋体"/>
          <w:szCs w:val="24"/>
        </w:rPr>
        <w:t>监督联系人                    廉</w:t>
      </w:r>
      <w:r>
        <w:rPr>
          <w:rFonts w:hint="eastAsia" w:hAnsi="宋体"/>
          <w:szCs w:val="24"/>
          <w:lang w:val="en-US" w:eastAsia="zh-CN"/>
        </w:rPr>
        <w:t>洁</w:t>
      </w:r>
      <w:r>
        <w:rPr>
          <w:rFonts w:hint="eastAsia" w:hAnsi="宋体"/>
          <w:szCs w:val="24"/>
        </w:rPr>
        <w:t>监督联系人</w:t>
      </w:r>
    </w:p>
    <w:p w14:paraId="2D200E2E">
      <w:pPr>
        <w:spacing w:line="440" w:lineRule="exact"/>
        <w:ind w:firstLine="420" w:firstLineChars="200"/>
        <w:rPr>
          <w:rFonts w:hAnsi="宋体"/>
          <w:szCs w:val="24"/>
        </w:rPr>
      </w:pPr>
      <w:r>
        <w:rPr>
          <w:rFonts w:hint="eastAsia" w:hAnsi="宋体"/>
          <w:szCs w:val="24"/>
        </w:rPr>
        <w:t>签字：                            签字：</w:t>
      </w:r>
    </w:p>
    <w:p w14:paraId="01D7D11A">
      <w:pPr>
        <w:spacing w:line="440" w:lineRule="exact"/>
        <w:ind w:firstLine="420" w:firstLineChars="200"/>
        <w:rPr>
          <w:rFonts w:hAnsi="宋体"/>
          <w:szCs w:val="24"/>
        </w:rPr>
      </w:pPr>
      <w:r>
        <w:rPr>
          <w:rFonts w:hint="eastAsia" w:hAnsi="宋体"/>
          <w:szCs w:val="24"/>
        </w:rPr>
        <w:t>电话：0551-</w:t>
      </w:r>
      <w:r>
        <w:rPr>
          <w:rFonts w:hint="eastAsia" w:hAnsi="宋体"/>
          <w:szCs w:val="24"/>
          <w:lang w:val="en-US" w:eastAsia="zh-CN"/>
        </w:rPr>
        <w:t xml:space="preserve">        </w:t>
      </w:r>
      <w:r>
        <w:rPr>
          <w:rFonts w:hint="eastAsia" w:hAnsi="宋体"/>
          <w:szCs w:val="24"/>
        </w:rPr>
        <w:t xml:space="preserve">               电话：</w:t>
      </w:r>
    </w:p>
    <w:p w14:paraId="6E36E2A1">
      <w:pPr>
        <w:widowControl/>
        <w:spacing w:line="560" w:lineRule="exact"/>
        <w:ind w:firstLine="420" w:firstLineChars="200"/>
        <w:jc w:val="left"/>
        <w:rPr>
          <w:rFonts w:hAnsi="宋体" w:cs="@仿宋_GB2312"/>
          <w:bCs/>
          <w:szCs w:val="20"/>
        </w:rPr>
      </w:pPr>
      <w:r>
        <w:rPr>
          <w:rFonts w:hint="eastAsia" w:hAnsi="宋体" w:cs="@仿宋_GB2312"/>
          <w:bCs/>
          <w:szCs w:val="20"/>
        </w:rPr>
        <w:t>时间：</w:t>
      </w:r>
      <w:r>
        <w:rPr>
          <w:rFonts w:hint="eastAsia" w:hAnsi="宋体" w:cs="@仿宋_GB2312"/>
          <w:bCs/>
          <w:szCs w:val="20"/>
          <w:u w:val="single"/>
        </w:rPr>
        <w:t xml:space="preserve">  202</w:t>
      </w:r>
      <w:r>
        <w:rPr>
          <w:rFonts w:hint="eastAsia" w:hAnsi="宋体" w:cs="@仿宋_GB2312"/>
          <w:bCs/>
          <w:szCs w:val="20"/>
          <w:u w:val="single"/>
          <w:lang w:val="en-US" w:eastAsia="zh-CN"/>
        </w:rPr>
        <w:t>5</w:t>
      </w:r>
      <w:r>
        <w:rPr>
          <w:rFonts w:hint="eastAsia" w:hAnsi="宋体" w:cs="@仿宋_GB2312"/>
          <w:bCs/>
          <w:szCs w:val="20"/>
          <w:u w:val="single"/>
        </w:rPr>
        <w:t xml:space="preserve">  </w:t>
      </w:r>
      <w:r>
        <w:rPr>
          <w:rFonts w:hint="eastAsia" w:hAnsi="宋体" w:cs="@仿宋_GB2312"/>
          <w:bCs/>
          <w:szCs w:val="20"/>
        </w:rPr>
        <w:t>年</w:t>
      </w:r>
      <w:r>
        <w:rPr>
          <w:rFonts w:hint="eastAsia" w:hAnsi="宋体" w:cs="@仿宋_GB2312"/>
          <w:bCs/>
          <w:szCs w:val="20"/>
          <w:u w:val="single"/>
        </w:rPr>
        <w:t xml:space="preserve">    </w:t>
      </w:r>
      <w:r>
        <w:rPr>
          <w:rFonts w:hint="eastAsia" w:hAnsi="宋体" w:cs="@仿宋_GB2312"/>
          <w:bCs/>
          <w:szCs w:val="20"/>
        </w:rPr>
        <w:t>月</w:t>
      </w:r>
      <w:r>
        <w:rPr>
          <w:rFonts w:hint="eastAsia" w:hAnsi="宋体" w:cs="@仿宋_GB2312"/>
          <w:bCs/>
          <w:szCs w:val="20"/>
          <w:u w:val="single"/>
        </w:rPr>
        <w:t xml:space="preserve">    </w:t>
      </w:r>
      <w:r>
        <w:rPr>
          <w:rFonts w:hint="eastAsia" w:hAnsi="宋体" w:cs="@仿宋_GB2312"/>
          <w:bCs/>
          <w:szCs w:val="20"/>
        </w:rPr>
        <w:t>日      时间：</w:t>
      </w:r>
      <w:r>
        <w:rPr>
          <w:rFonts w:hint="eastAsia" w:hAnsi="宋体" w:cs="@仿宋_GB2312"/>
          <w:bCs/>
          <w:szCs w:val="20"/>
          <w:u w:val="single"/>
        </w:rPr>
        <w:t xml:space="preserve"> 202</w:t>
      </w:r>
      <w:r>
        <w:rPr>
          <w:rFonts w:hint="eastAsia" w:hAnsi="宋体" w:cs="@仿宋_GB2312"/>
          <w:bCs/>
          <w:szCs w:val="20"/>
          <w:u w:val="single"/>
          <w:lang w:val="en-US" w:eastAsia="zh-CN"/>
        </w:rPr>
        <w:t>5</w:t>
      </w:r>
      <w:r>
        <w:rPr>
          <w:rFonts w:hint="eastAsia" w:hAnsi="宋体" w:cs="@仿宋_GB2312"/>
          <w:bCs/>
          <w:szCs w:val="20"/>
          <w:u w:val="single"/>
        </w:rPr>
        <w:t xml:space="preserve">  </w:t>
      </w:r>
      <w:r>
        <w:rPr>
          <w:rFonts w:hint="eastAsia" w:hAnsi="宋体" w:cs="@仿宋_GB2312"/>
          <w:bCs/>
          <w:szCs w:val="20"/>
        </w:rPr>
        <w:t>年</w:t>
      </w:r>
      <w:r>
        <w:rPr>
          <w:rFonts w:hint="eastAsia" w:hAnsi="宋体" w:cs="@仿宋_GB2312"/>
          <w:bCs/>
          <w:szCs w:val="20"/>
          <w:u w:val="single"/>
        </w:rPr>
        <w:t xml:space="preserve">    </w:t>
      </w:r>
      <w:r>
        <w:rPr>
          <w:rFonts w:hint="eastAsia" w:hAnsi="宋体" w:cs="@仿宋_GB2312"/>
          <w:bCs/>
          <w:szCs w:val="20"/>
        </w:rPr>
        <w:t>月</w:t>
      </w:r>
      <w:r>
        <w:rPr>
          <w:rFonts w:hint="eastAsia" w:hAnsi="宋体" w:cs="@仿宋_GB2312"/>
          <w:bCs/>
          <w:szCs w:val="20"/>
          <w:u w:val="single"/>
        </w:rPr>
        <w:t xml:space="preserve">    </w:t>
      </w:r>
      <w:r>
        <w:rPr>
          <w:rFonts w:hint="eastAsia" w:hAnsi="宋体" w:cs="@仿宋_GB2312"/>
          <w:bCs/>
          <w:szCs w:val="20"/>
        </w:rPr>
        <w:t>日</w:t>
      </w:r>
    </w:p>
    <w:p w14:paraId="46B7808E">
      <w:pPr>
        <w:spacing w:line="440" w:lineRule="exact"/>
        <w:ind w:firstLine="420" w:firstLineChars="200"/>
        <w:rPr>
          <w:rFonts w:hAnsi="宋体"/>
          <w:szCs w:val="24"/>
        </w:rPr>
      </w:pPr>
    </w:p>
    <w:p w14:paraId="711EFCE2">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706A0814">
      <w:pPr>
        <w:spacing w:line="360" w:lineRule="auto"/>
        <w:jc w:val="center"/>
        <w:outlineLvl w:val="1"/>
        <w:rPr>
          <w:rFonts w:ascii="Times New Roman" w:hAnsi="Times New Roman" w:cs="Times New Roman" w:eastAsiaTheme="minorEastAsia"/>
          <w:b/>
          <w:sz w:val="28"/>
        </w:rPr>
      </w:pPr>
      <w:bookmarkStart w:id="16" w:name="_Toc22226"/>
      <w:r>
        <w:rPr>
          <w:rFonts w:ascii="Times New Roman" w:hAnsi="Times New Roman" w:cs="Times New Roman" w:eastAsiaTheme="minorEastAsia"/>
          <w:b/>
          <w:sz w:val="28"/>
        </w:rPr>
        <w:t>第六章  投标文件格式</w:t>
      </w:r>
      <w:bookmarkEnd w:id="16"/>
    </w:p>
    <w:p w14:paraId="2EFF1108">
      <w:pPr>
        <w:spacing w:line="900" w:lineRule="exact"/>
        <w:jc w:val="center"/>
        <w:rPr>
          <w:rFonts w:hint="eastAsia" w:ascii="方正小标宋简体" w:hAnsi="方正小标宋简体" w:eastAsia="方正小标宋简体" w:cs="方正小标宋简体"/>
          <w:b w:val="0"/>
          <w:bCs/>
          <w:sz w:val="60"/>
          <w:szCs w:val="22"/>
          <w:lang w:val="en-US"/>
        </w:rPr>
      </w:pPr>
      <w:r>
        <w:rPr>
          <w:rFonts w:hint="eastAsia" w:ascii="方正小标宋简体" w:hAnsi="方正小标宋简体" w:eastAsia="方正小标宋简体" w:cs="方正小标宋简体"/>
          <w:b w:val="0"/>
          <w:bCs/>
          <w:sz w:val="60"/>
          <w:szCs w:val="22"/>
          <w:lang w:val="en-US" w:eastAsia="zh-CN"/>
        </w:rPr>
        <w:t>安徽环巢湖生态发展有限公司报废电梯资产评估项目（二次）</w:t>
      </w:r>
    </w:p>
    <w:p w14:paraId="0ADBD1D9">
      <w:pPr>
        <w:spacing w:line="900" w:lineRule="exact"/>
        <w:jc w:val="center"/>
        <w:rPr>
          <w:rFonts w:ascii="Times New Roman" w:hAnsi="Times New Roman" w:cs="Times New Roman" w:eastAsiaTheme="minorEastAsia"/>
          <w:b/>
          <w:sz w:val="72"/>
        </w:rPr>
      </w:pPr>
    </w:p>
    <w:p w14:paraId="2290C68C">
      <w:pPr>
        <w:spacing w:line="900" w:lineRule="exact"/>
        <w:jc w:val="center"/>
        <w:rPr>
          <w:rFonts w:ascii="Times New Roman" w:hAnsi="Times New Roman" w:cs="Times New Roman" w:eastAsiaTheme="minorEastAsia"/>
          <w:b w:val="0"/>
          <w:bCs/>
          <w:sz w:val="72"/>
        </w:rPr>
      </w:pPr>
      <w:r>
        <w:rPr>
          <w:rFonts w:ascii="Times New Roman" w:hAnsi="Times New Roman" w:cs="Times New Roman" w:eastAsiaTheme="minorEastAsia"/>
          <w:b w:val="0"/>
          <w:bCs/>
          <w:sz w:val="72"/>
        </w:rPr>
        <w:t>投</w:t>
      </w:r>
    </w:p>
    <w:p w14:paraId="201439B5">
      <w:pPr>
        <w:spacing w:line="900" w:lineRule="exact"/>
        <w:jc w:val="center"/>
        <w:rPr>
          <w:rFonts w:ascii="Times New Roman" w:hAnsi="Times New Roman" w:cs="Times New Roman" w:eastAsiaTheme="minorEastAsia"/>
          <w:b w:val="0"/>
          <w:bCs/>
          <w:sz w:val="72"/>
        </w:rPr>
      </w:pPr>
    </w:p>
    <w:p w14:paraId="5D4ADD3F">
      <w:pPr>
        <w:spacing w:line="900" w:lineRule="exact"/>
        <w:jc w:val="center"/>
        <w:rPr>
          <w:rFonts w:ascii="Times New Roman" w:hAnsi="Times New Roman" w:cs="Times New Roman" w:eastAsiaTheme="minorEastAsia"/>
          <w:b w:val="0"/>
          <w:bCs/>
          <w:sz w:val="72"/>
        </w:rPr>
      </w:pPr>
      <w:r>
        <w:rPr>
          <w:rFonts w:ascii="Times New Roman" w:hAnsi="Times New Roman" w:cs="Times New Roman" w:eastAsiaTheme="minorEastAsia"/>
          <w:b w:val="0"/>
          <w:bCs/>
          <w:sz w:val="72"/>
        </w:rPr>
        <w:t>标</w:t>
      </w:r>
    </w:p>
    <w:p w14:paraId="3130C878">
      <w:pPr>
        <w:spacing w:line="900" w:lineRule="exact"/>
        <w:jc w:val="center"/>
        <w:rPr>
          <w:rFonts w:ascii="Times New Roman" w:hAnsi="Times New Roman" w:cs="Times New Roman" w:eastAsiaTheme="minorEastAsia"/>
          <w:b w:val="0"/>
          <w:bCs/>
          <w:sz w:val="72"/>
        </w:rPr>
      </w:pPr>
    </w:p>
    <w:p w14:paraId="4EED430C">
      <w:pPr>
        <w:spacing w:line="900" w:lineRule="exact"/>
        <w:jc w:val="center"/>
        <w:rPr>
          <w:rFonts w:ascii="Times New Roman" w:hAnsi="Times New Roman" w:cs="Times New Roman" w:eastAsiaTheme="minorEastAsia"/>
          <w:b w:val="0"/>
          <w:bCs/>
          <w:sz w:val="72"/>
        </w:rPr>
      </w:pPr>
      <w:r>
        <w:rPr>
          <w:rFonts w:ascii="Times New Roman" w:hAnsi="Times New Roman" w:cs="Times New Roman" w:eastAsiaTheme="minorEastAsia"/>
          <w:b w:val="0"/>
          <w:bCs/>
          <w:sz w:val="72"/>
        </w:rPr>
        <w:t>文</w:t>
      </w:r>
    </w:p>
    <w:p w14:paraId="0CDD5034">
      <w:pPr>
        <w:spacing w:line="900" w:lineRule="exact"/>
        <w:jc w:val="center"/>
        <w:rPr>
          <w:rFonts w:ascii="Times New Roman" w:hAnsi="Times New Roman" w:cs="Times New Roman" w:eastAsiaTheme="minorEastAsia"/>
          <w:b w:val="0"/>
          <w:bCs/>
          <w:sz w:val="72"/>
        </w:rPr>
      </w:pPr>
    </w:p>
    <w:p w14:paraId="22346641">
      <w:pPr>
        <w:jc w:val="center"/>
        <w:rPr>
          <w:rFonts w:ascii="Times New Roman" w:hAnsi="Times New Roman" w:cs="Times New Roman" w:eastAsiaTheme="minorEastAsia"/>
          <w:b w:val="0"/>
          <w:bCs/>
          <w:sz w:val="72"/>
        </w:rPr>
      </w:pPr>
      <w:r>
        <w:rPr>
          <w:rFonts w:ascii="Times New Roman" w:hAnsi="Times New Roman" w:cs="Times New Roman" w:eastAsiaTheme="minorEastAsia"/>
          <w:b w:val="0"/>
          <w:bCs/>
          <w:sz w:val="72"/>
        </w:rPr>
        <w:t>件</w:t>
      </w:r>
    </w:p>
    <w:p w14:paraId="78E912F2">
      <w:pPr>
        <w:spacing w:after="156" w:afterLines="50" w:line="500" w:lineRule="exact"/>
        <w:jc w:val="center"/>
        <w:rPr>
          <w:rFonts w:ascii="Times New Roman" w:hAnsi="Times New Roman" w:cs="Times New Roman" w:eastAsiaTheme="minorEastAsia"/>
          <w:b/>
          <w:sz w:val="28"/>
          <w:szCs w:val="28"/>
        </w:rPr>
      </w:pPr>
    </w:p>
    <w:p w14:paraId="5C970AFA">
      <w:pPr>
        <w:spacing w:after="156" w:afterLines="50" w:line="500" w:lineRule="exact"/>
        <w:jc w:val="center"/>
        <w:rPr>
          <w:rFonts w:ascii="Times New Roman" w:hAnsi="Times New Roman" w:cs="Times New Roman" w:eastAsiaTheme="minorEastAsia"/>
          <w:b/>
          <w:sz w:val="72"/>
        </w:rPr>
      </w:pPr>
    </w:p>
    <w:p w14:paraId="3F883B46">
      <w:pPr>
        <w:spacing w:after="156" w:afterLines="50" w:line="500" w:lineRule="exact"/>
        <w:ind w:firstLine="2570" w:firstLineChars="800"/>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46B6AAFC">
      <w:pPr>
        <w:pStyle w:val="7"/>
        <w:ind w:firstLine="2570" w:firstLineChars="800"/>
        <w:rPr>
          <w:rFonts w:hint="default" w:eastAsiaTheme="minorEastAsia"/>
          <w:lang w:val="en-US" w:eastAsia="zh-CN"/>
        </w:rPr>
      </w:pPr>
      <w:r>
        <w:rPr>
          <w:rFonts w:hint="eastAsia" w:ascii="Times New Roman" w:hAnsi="Times New Roman" w:cs="Times New Roman"/>
          <w:b/>
          <w:bCs w:val="0"/>
          <w:sz w:val="32"/>
          <w:u w:val="none"/>
          <w:lang w:val="en-US" w:eastAsia="zh-CN"/>
        </w:rPr>
        <w:t>项目编号：</w:t>
      </w:r>
      <w:r>
        <w:rPr>
          <w:rFonts w:hint="eastAsia" w:ascii="Times New Roman" w:hAnsi="Times New Roman" w:cs="Times New Roman"/>
          <w:b/>
          <w:sz w:val="32"/>
          <w:u w:val="single"/>
          <w:lang w:val="en-US" w:eastAsia="zh-CN"/>
        </w:rPr>
        <w:t xml:space="preserve">             </w:t>
      </w:r>
    </w:p>
    <w:p w14:paraId="2D2B97F0">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14:paraId="5E5B7380">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6F7CA787">
      <w:pPr>
        <w:numPr>
          <w:ilvl w:val="0"/>
          <w:numId w:val="2"/>
        </w:numPr>
        <w:spacing w:line="360" w:lineRule="auto"/>
        <w:jc w:val="center"/>
        <w:outlineLvl w:val="2"/>
        <w:rPr>
          <w:rFonts w:ascii="Times New Roman" w:hAnsi="Times New Roman" w:cs="Times New Roman" w:eastAsiaTheme="minorEastAsia"/>
          <w:b/>
          <w:sz w:val="24"/>
        </w:rPr>
      </w:pPr>
      <w:bookmarkStart w:id="17" w:name="_Hlk23205287"/>
      <w:r>
        <w:rPr>
          <w:rFonts w:ascii="Times New Roman" w:hAnsi="Times New Roman" w:cs="Times New Roman" w:eastAsiaTheme="minorEastAsia"/>
          <w:b/>
          <w:sz w:val="24"/>
        </w:rPr>
        <w:t>报价表</w:t>
      </w:r>
    </w:p>
    <w:p w14:paraId="6D053732">
      <w:pPr>
        <w:snapToGrid w:val="0"/>
        <w:spacing w:line="360" w:lineRule="auto"/>
        <w:jc w:val="left"/>
        <w:rPr>
          <w:rFonts w:hint="default" w:ascii="Times New Roman" w:hAnsi="Times New Roman" w:cs="Times New Roman" w:eastAsiaTheme="minorEastAsia"/>
          <w:b/>
          <w:sz w:val="24"/>
          <w:szCs w:val="24"/>
          <w:lang w:val="en-US"/>
        </w:rPr>
      </w:pPr>
      <w:r>
        <w:rPr>
          <w:rFonts w:ascii="Times New Roman" w:hAnsi="Times New Roman" w:cs="Times New Roman" w:eastAsiaTheme="minorEastAsia"/>
          <w:b/>
          <w:sz w:val="24"/>
          <w:szCs w:val="24"/>
        </w:rPr>
        <w:t>项目名称：</w:t>
      </w:r>
      <w:r>
        <w:rPr>
          <w:rFonts w:hint="eastAsia" w:ascii="Times New Roman" w:hAnsi="Times New Roman" w:cs="Times New Roman"/>
          <w:b/>
          <w:sz w:val="24"/>
          <w:szCs w:val="24"/>
          <w:u w:val="single"/>
          <w:lang w:eastAsia="zh-CN"/>
        </w:rPr>
        <w:t xml:space="preserve"> </w:t>
      </w:r>
      <w:r>
        <w:rPr>
          <w:rFonts w:hint="eastAsia" w:ascii="Times New Roman" w:hAnsi="Times New Roman" w:cs="Times New Roman"/>
          <w:b/>
          <w:color w:val="auto"/>
          <w:kern w:val="2"/>
          <w:sz w:val="24"/>
          <w:szCs w:val="24"/>
          <w:highlight w:val="none"/>
          <w:u w:val="single"/>
          <w:lang w:val="en-US" w:eastAsia="zh-CN" w:bidi="ar-SA"/>
        </w:rPr>
        <w:t>安徽环巢湖生态发展有限公司报废电梯资产评估项目（二次）</w:t>
      </w:r>
    </w:p>
    <w:p w14:paraId="5DBB7503">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b/>
          <w:sz w:val="24"/>
          <w:szCs w:val="24"/>
          <w:u w:val="single"/>
          <w:lang w:val="en-US" w:eastAsia="zh-CN"/>
        </w:rPr>
        <w:t xml:space="preserve">           </w:t>
      </w:r>
      <w:r>
        <w:rPr>
          <w:rFonts w:ascii="Times New Roman" w:hAnsi="Times New Roman" w:cs="Times New Roman" w:eastAsiaTheme="minorEastAsia"/>
          <w:b/>
          <w:sz w:val="24"/>
          <w:szCs w:val="24"/>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63B3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30F109DD">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14:paraId="5918D70B">
            <w:pPr>
              <w:rPr>
                <w:rFonts w:ascii="Times New Roman" w:hAnsi="Times New Roman" w:cs="Times New Roman" w:eastAsiaTheme="minorEastAsia"/>
                <w:b/>
                <w:sz w:val="24"/>
                <w:szCs w:val="24"/>
              </w:rPr>
            </w:pPr>
          </w:p>
        </w:tc>
      </w:tr>
      <w:tr w14:paraId="38B3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403ADD61">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14:paraId="366424F6">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w:t>
            </w:r>
          </w:p>
        </w:tc>
      </w:tr>
      <w:tr w14:paraId="370E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442" w:type="pct"/>
            <w:tcBorders>
              <w:top w:val="single" w:color="auto" w:sz="4" w:space="0"/>
            </w:tcBorders>
            <w:vAlign w:val="center"/>
          </w:tcPr>
          <w:p w14:paraId="2892E7EA">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60895C5E">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14:paraId="60797F55">
            <w:pPr>
              <w:snapToGrid w:val="0"/>
              <w:rPr>
                <w:rFonts w:ascii="Times New Roman" w:hAnsi="Times New Roman" w:cs="Times New Roman" w:eastAsiaTheme="minorEastAsia"/>
                <w:sz w:val="24"/>
                <w:szCs w:val="24"/>
              </w:rPr>
            </w:pPr>
          </w:p>
          <w:p w14:paraId="16604BF1">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14:paraId="4843C800">
            <w:pPr>
              <w:snapToGrid w:val="0"/>
              <w:rPr>
                <w:rFonts w:hint="eastAsia" w:ascii="Times New Roman" w:hAnsi="Times New Roman" w:cs="Times New Roman"/>
                <w:bCs/>
                <w:sz w:val="24"/>
                <w:szCs w:val="24"/>
                <w:u w:val="single"/>
                <w:lang w:val="en-US" w:eastAsia="zh-CN"/>
              </w:rPr>
            </w:pPr>
          </w:p>
          <w:p w14:paraId="11BB323D">
            <w:pPr>
              <w:snapToGrid w:val="0"/>
              <w:rPr>
                <w:rFonts w:ascii="Times New Roman" w:hAnsi="Times New Roman" w:cs="Times New Roman" w:eastAsiaTheme="minorEastAsia"/>
                <w:bCs/>
                <w:sz w:val="24"/>
                <w:szCs w:val="24"/>
                <w:u w:val="single"/>
              </w:rPr>
            </w:pPr>
            <w:r>
              <w:rPr>
                <w:rFonts w:hint="eastAsia" w:ascii="Times New Roman" w:hAnsi="Times New Roman" w:cs="Times New Roman"/>
                <w:bCs/>
                <w:sz w:val="24"/>
                <w:szCs w:val="24"/>
                <w:u w:val="none"/>
                <w:lang w:val="en-US" w:eastAsia="zh-CN"/>
              </w:rPr>
              <w:t>人民币小写：</w:t>
            </w:r>
            <w:r>
              <w:rPr>
                <w:rFonts w:ascii="Times New Roman" w:hAnsi="Times New Roman" w:cs="Times New Roman" w:eastAsiaTheme="minorEastAsia"/>
                <w:bCs/>
                <w:sz w:val="24"/>
                <w:szCs w:val="24"/>
                <w:u w:val="single"/>
              </w:rPr>
              <w:t xml:space="preserve">                        </w:t>
            </w:r>
          </w:p>
          <w:p w14:paraId="0DB92EBB">
            <w:pPr>
              <w:snapToGrid w:val="0"/>
              <w:rPr>
                <w:rFonts w:hint="eastAsia" w:ascii="Times New Roman" w:hAnsi="Times New Roman" w:cs="Times New Roman" w:eastAsiaTheme="minorEastAsia"/>
                <w:bCs/>
                <w:sz w:val="24"/>
                <w:szCs w:val="24"/>
                <w:u w:val="single"/>
                <w:lang w:val="en-US" w:eastAsia="zh-CN"/>
              </w:rPr>
            </w:pPr>
          </w:p>
          <w:p w14:paraId="43AD58F7">
            <w:pPr>
              <w:snapToGrid w:val="0"/>
              <w:rPr>
                <w:rFonts w:ascii="Times New Roman" w:hAnsi="Times New Roman" w:cs="Times New Roman" w:eastAsiaTheme="minorEastAsia"/>
                <w:b/>
                <w:sz w:val="24"/>
                <w:szCs w:val="24"/>
              </w:rPr>
            </w:pPr>
          </w:p>
        </w:tc>
      </w:tr>
      <w:tr w14:paraId="2915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442" w:type="pct"/>
            <w:tcBorders>
              <w:top w:val="single" w:color="auto" w:sz="4" w:space="0"/>
            </w:tcBorders>
            <w:vAlign w:val="center"/>
          </w:tcPr>
          <w:p w14:paraId="0F070097">
            <w:pPr>
              <w:snapToGrid w:val="0"/>
              <w:jc w:val="center"/>
              <w:rPr>
                <w:rFonts w:ascii="Times New Roman" w:hAnsi="Times New Roman" w:cs="Times New Roman" w:eastAsiaTheme="minorEastAsia"/>
                <w:b/>
                <w:strike/>
                <w:sz w:val="24"/>
                <w:szCs w:val="24"/>
                <w:highlight w:val="yellow"/>
              </w:rPr>
            </w:pPr>
            <w:r>
              <w:rPr>
                <w:rFonts w:hint="eastAsia" w:ascii="Times New Roman" w:hAnsi="Times New Roman" w:cs="Times New Roman"/>
                <w:b/>
                <w:sz w:val="24"/>
                <w:szCs w:val="24"/>
                <w:lang w:val="en-US" w:eastAsia="zh-CN"/>
              </w:rPr>
              <w:t>服务期限</w:t>
            </w:r>
          </w:p>
        </w:tc>
        <w:tc>
          <w:tcPr>
            <w:tcW w:w="3557" w:type="pct"/>
            <w:vAlign w:val="center"/>
          </w:tcPr>
          <w:p w14:paraId="54E29788">
            <w:pPr>
              <w:snapToGrid w:val="0"/>
              <w:rPr>
                <w:rFonts w:ascii="Times New Roman" w:hAnsi="Times New Roman" w:cs="Times New Roman" w:eastAsiaTheme="minorEastAsia"/>
                <w:b/>
                <w:strike/>
                <w:sz w:val="24"/>
                <w:szCs w:val="24"/>
                <w:highlight w:val="yellow"/>
              </w:rPr>
            </w:pPr>
          </w:p>
        </w:tc>
      </w:tr>
      <w:tr w14:paraId="2E5D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61F1A8FD">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14:paraId="7175725A">
            <w:pPr>
              <w:rPr>
                <w:rFonts w:ascii="Times New Roman" w:hAnsi="Times New Roman" w:cs="Times New Roman" w:eastAsiaTheme="minorEastAsia"/>
                <w:b/>
                <w:sz w:val="24"/>
                <w:szCs w:val="24"/>
              </w:rPr>
            </w:pPr>
          </w:p>
        </w:tc>
      </w:tr>
    </w:tbl>
    <w:p w14:paraId="006C5993">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1041238C">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22770BBF">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14:paraId="315293EF">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14:paraId="5605F9F9">
      <w:pPr>
        <w:adjustRightInd w:val="0"/>
        <w:snapToGrid w:val="0"/>
        <w:spacing w:line="360" w:lineRule="auto"/>
        <w:ind w:firstLine="482" w:firstLineChars="200"/>
        <w:jc w:val="left"/>
        <w:rPr>
          <w:rFonts w:ascii="Times New Roman" w:hAnsi="Times New Roman" w:eastAsia="宋体" w:cs="Times New Roman"/>
          <w:b/>
          <w:sz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14:paraId="4DA85D78">
      <w:pPr>
        <w:adjustRightInd w:val="0"/>
        <w:snapToGrid w:val="0"/>
        <w:spacing w:line="360" w:lineRule="auto"/>
        <w:ind w:firstLine="482" w:firstLineChars="200"/>
        <w:jc w:val="left"/>
        <w:rPr>
          <w:rFonts w:ascii="Times New Roman" w:hAnsi="Times New Roman" w:eastAsia="宋体" w:cs="Times New Roman"/>
          <w:b/>
          <w:sz w:val="24"/>
        </w:rPr>
      </w:pPr>
    </w:p>
    <w:p w14:paraId="0A9093E1">
      <w:pPr>
        <w:adjustRightInd w:val="0"/>
        <w:snapToGrid w:val="0"/>
        <w:spacing w:line="360" w:lineRule="auto"/>
        <w:ind w:firstLine="482" w:firstLineChars="200"/>
        <w:jc w:val="left"/>
        <w:rPr>
          <w:rFonts w:ascii="Times New Roman" w:hAnsi="Times New Roman" w:eastAsia="宋体" w:cs="Times New Roman"/>
          <w:b/>
          <w:sz w:val="24"/>
        </w:rPr>
      </w:pPr>
    </w:p>
    <w:p w14:paraId="596EFF3D">
      <w:pPr>
        <w:adjustRightInd w:val="0"/>
        <w:snapToGrid w:val="0"/>
        <w:spacing w:line="360" w:lineRule="auto"/>
        <w:ind w:firstLine="482" w:firstLineChars="200"/>
        <w:jc w:val="left"/>
        <w:rPr>
          <w:rFonts w:ascii="Times New Roman" w:hAnsi="Times New Roman" w:eastAsia="宋体" w:cs="Times New Roman"/>
          <w:b/>
          <w:sz w:val="24"/>
        </w:rPr>
      </w:pPr>
    </w:p>
    <w:p w14:paraId="17103302">
      <w:pPr>
        <w:adjustRightInd w:val="0"/>
        <w:snapToGrid w:val="0"/>
        <w:spacing w:line="360" w:lineRule="auto"/>
        <w:ind w:firstLine="482" w:firstLineChars="200"/>
        <w:jc w:val="left"/>
        <w:rPr>
          <w:rFonts w:ascii="Times New Roman" w:hAnsi="Times New Roman" w:eastAsia="宋体" w:cs="Times New Roman"/>
          <w:b/>
          <w:sz w:val="24"/>
        </w:rPr>
      </w:pPr>
    </w:p>
    <w:p w14:paraId="67788FFC">
      <w:pPr>
        <w:adjustRightInd w:val="0"/>
        <w:snapToGrid w:val="0"/>
        <w:spacing w:line="360" w:lineRule="auto"/>
        <w:ind w:firstLine="482" w:firstLineChars="200"/>
        <w:jc w:val="left"/>
        <w:rPr>
          <w:rFonts w:ascii="Times New Roman" w:hAnsi="Times New Roman" w:eastAsia="宋体" w:cs="Times New Roman"/>
          <w:b/>
          <w:sz w:val="24"/>
        </w:rPr>
      </w:pPr>
    </w:p>
    <w:p w14:paraId="55E274F9">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14:paraId="788302D1">
      <w:pPr>
        <w:spacing w:line="360" w:lineRule="auto"/>
        <w:jc w:val="center"/>
        <w:outlineLvl w:val="2"/>
        <w:rPr>
          <w:rFonts w:ascii="Times New Roman" w:hAnsi="Times New Roman" w:cs="Times New Roman" w:eastAsiaTheme="minorEastAsia"/>
          <w:b/>
          <w:sz w:val="24"/>
        </w:rPr>
      </w:pPr>
    </w:p>
    <w:p w14:paraId="2F6A45EA">
      <w:pPr>
        <w:pStyle w:val="14"/>
        <w:spacing w:line="360" w:lineRule="auto"/>
        <w:ind w:left="0" w:leftChars="0" w:firstLine="0" w:firstLineChars="0"/>
        <w:rPr>
          <w:rFonts w:ascii="Times New Roman" w:hAnsi="Times New Roman" w:cs="Times New Roman" w:eastAsiaTheme="minorEastAsia"/>
          <w:sz w:val="24"/>
        </w:rPr>
      </w:pPr>
      <w:r>
        <w:rPr>
          <w:rFonts w:ascii="Times New Roman" w:hAnsi="Times New Roman" w:cs="Times New Roman" w:eastAsiaTheme="minorEastAsia"/>
          <w:sz w:val="24"/>
        </w:rPr>
        <w:t>致：</w:t>
      </w:r>
      <w:r>
        <w:rPr>
          <w:rFonts w:hint="eastAsia" w:cs="宋体" w:asciiTheme="minorEastAsia" w:hAnsiTheme="minorEastAsia"/>
          <w:b/>
          <w:kern w:val="2"/>
          <w:sz w:val="24"/>
          <w:szCs w:val="24"/>
          <w:u w:val="single"/>
          <w:lang w:val="en-US" w:eastAsia="zh-CN"/>
        </w:rPr>
        <w:t>安徽环巢湖生态发展</w:t>
      </w:r>
      <w:r>
        <w:rPr>
          <w:rFonts w:hint="eastAsia" w:cs="宋体" w:asciiTheme="minorEastAsia" w:hAnsiTheme="minorEastAsia" w:eastAsiaTheme="minorEastAsia"/>
          <w:b/>
          <w:kern w:val="2"/>
          <w:sz w:val="24"/>
          <w:szCs w:val="24"/>
          <w:u w:val="single"/>
          <w:lang w:val="en-US" w:eastAsia="zh-CN"/>
        </w:rPr>
        <w:t>有限公司</w:t>
      </w:r>
    </w:p>
    <w:p w14:paraId="7333986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14:paraId="4B516888">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cs="宋体" w:asciiTheme="minorEastAsia" w:hAnsiTheme="minorEastAsia" w:eastAsiaTheme="minorEastAsia"/>
          <w:kern w:val="2"/>
          <w:sz w:val="24"/>
          <w:szCs w:val="24"/>
        </w:rPr>
        <w:t>经踏勘项目现场和研究上述</w:t>
      </w:r>
      <w:r>
        <w:rPr>
          <w:rFonts w:hint="eastAsia" w:cs="宋体" w:asciiTheme="minorEastAsia" w:hAnsiTheme="minorEastAsia" w:eastAsiaTheme="minorEastAsia"/>
          <w:kern w:val="2"/>
          <w:sz w:val="24"/>
          <w:szCs w:val="24"/>
          <w:lang w:eastAsia="zh-CN"/>
        </w:rPr>
        <w:t>询价</w:t>
      </w:r>
      <w:r>
        <w:rPr>
          <w:rFonts w:hint="eastAsia" w:cs="宋体" w:asciiTheme="minorEastAsia" w:hAnsiTheme="minorEastAsia" w:eastAsiaTheme="minorEastAsia"/>
          <w:kern w:val="2"/>
          <w:sz w:val="24"/>
          <w:szCs w:val="24"/>
        </w:rPr>
        <w:t>文件的</w:t>
      </w:r>
      <w:r>
        <w:rPr>
          <w:rFonts w:hint="eastAsia" w:cs="宋体" w:asciiTheme="minorEastAsia" w:hAnsiTheme="minorEastAsia" w:eastAsiaTheme="minorEastAsia"/>
          <w:kern w:val="2"/>
          <w:sz w:val="24"/>
          <w:szCs w:val="24"/>
          <w:lang w:eastAsia="zh-CN"/>
        </w:rPr>
        <w:t>询价</w:t>
      </w:r>
      <w:r>
        <w:rPr>
          <w:rFonts w:hint="eastAsia" w:cs="宋体" w:asciiTheme="minorEastAsia" w:hAnsiTheme="minorEastAsia" w:eastAsiaTheme="minorEastAsia"/>
          <w:kern w:val="2"/>
          <w:sz w:val="24"/>
          <w:szCs w:val="24"/>
        </w:rPr>
        <w:t>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lang w:eastAsia="zh-CN"/>
        </w:rPr>
        <w:t>询价</w:t>
      </w:r>
      <w:r>
        <w:rPr>
          <w:rFonts w:hint="eastAsia" w:cs="宋体" w:asciiTheme="minorEastAsia" w:hAnsiTheme="minorEastAsia" w:eastAsiaTheme="minorEastAsia"/>
          <w:bCs/>
          <w:kern w:val="2"/>
          <w:sz w:val="24"/>
          <w:szCs w:val="24"/>
        </w:rPr>
        <w:t>文件、合同条款和招标人要求承担上述项目的全部内容。</w:t>
      </w:r>
    </w:p>
    <w:p w14:paraId="3DD608A4">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ascii="Times New Roman" w:hAnsi="Times New Roman" w:cs="Times New Roman" w:eastAsiaTheme="minorEastAsia"/>
          <w:sz w:val="24"/>
          <w:szCs w:val="24"/>
        </w:rPr>
        <w:t>我方已详细审核全部询价文件，包括询价文件的补疑、澄清、变更或补充（如有），参考资料及有关附件，我方正式认可并遵守本次询价文件，并对询价文件各项条款（包括询价时间）、规定及要求均无异议。且我方自愿放弃</w:t>
      </w:r>
      <w:r>
        <w:rPr>
          <w:rFonts w:hint="eastAsia" w:ascii="Times New Roman" w:hAnsi="Times New Roman" w:cs="Times New Roman"/>
          <w:sz w:val="24"/>
          <w:szCs w:val="24"/>
          <w:lang w:eastAsia="zh-CN"/>
        </w:rPr>
        <w:t>针对</w:t>
      </w:r>
      <w:r>
        <w:rPr>
          <w:rFonts w:ascii="Times New Roman" w:hAnsi="Times New Roman" w:cs="Times New Roman" w:eastAsiaTheme="minorEastAsia"/>
          <w:sz w:val="24"/>
          <w:szCs w:val="24"/>
        </w:rPr>
        <w:t>上述各项条款提出异议的权利。</w:t>
      </w:r>
    </w:p>
    <w:p w14:paraId="61FD9E11">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3</w:t>
      </w:r>
      <w:r>
        <w:rPr>
          <w:rFonts w:ascii="Times New Roman" w:hAnsi="Times New Roman" w:cs="Times New Roman" w:eastAsiaTheme="minorEastAsia"/>
          <w:sz w:val="24"/>
          <w:szCs w:val="24"/>
        </w:rPr>
        <w:t>.如我方中标，我方承诺愿意按询价文件规定缴纳履约保证金。</w:t>
      </w:r>
      <w:r>
        <w:rPr>
          <w:rFonts w:hint="eastAsia"/>
          <w:sz w:val="24"/>
        </w:rPr>
        <w:t>按本次</w:t>
      </w:r>
      <w:r>
        <w:rPr>
          <w:rFonts w:hint="eastAsia"/>
          <w:sz w:val="24"/>
          <w:lang w:eastAsia="zh-CN"/>
        </w:rPr>
        <w:t>询价</w:t>
      </w:r>
      <w:r>
        <w:rPr>
          <w:rFonts w:hint="eastAsia"/>
          <w:sz w:val="24"/>
        </w:rPr>
        <w:t>文件规定及最终投标报价承诺提供</w:t>
      </w:r>
      <w:r>
        <w:rPr>
          <w:rFonts w:hint="eastAsia"/>
          <w:sz w:val="24"/>
          <w:lang w:eastAsia="zh-CN"/>
        </w:rPr>
        <w:t>服务</w:t>
      </w:r>
      <w:r>
        <w:rPr>
          <w:rFonts w:ascii="Times New Roman" w:hAnsi="Times New Roman" w:cs="Times New Roman" w:eastAsiaTheme="minorEastAsia"/>
          <w:sz w:val="24"/>
          <w:szCs w:val="24"/>
        </w:rPr>
        <w:t>。</w:t>
      </w:r>
    </w:p>
    <w:p w14:paraId="0953DDD6">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4</w:t>
      </w:r>
      <w:r>
        <w:rPr>
          <w:rFonts w:ascii="Times New Roman" w:hAnsi="Times New Roman" w:cs="Times New Roman" w:eastAsiaTheme="minorEastAsia"/>
          <w:sz w:val="24"/>
          <w:szCs w:val="24"/>
        </w:rPr>
        <w:t>.我方根据本次询价文件的规定，严格履行合同的责任和义务,并保证于你方要求的日期内完成服务，并通过你方验收。</w:t>
      </w:r>
    </w:p>
    <w:p w14:paraId="43205E42">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5</w:t>
      </w:r>
      <w:r>
        <w:rPr>
          <w:rFonts w:ascii="Times New Roman" w:hAnsi="Times New Roman" w:cs="Times New Roman" w:eastAsiaTheme="minorEastAsia"/>
          <w:sz w:val="24"/>
          <w:szCs w:val="24"/>
        </w:rPr>
        <w:t>.我方同意按你方要求在规定时间内向你方提供与其投标有关的任何证据或补充资料，否则，我方的投标文件可被你方拒绝。</w:t>
      </w:r>
    </w:p>
    <w:p w14:paraId="6962775E">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6</w:t>
      </w:r>
      <w:r>
        <w:rPr>
          <w:rFonts w:ascii="Times New Roman" w:hAnsi="Times New Roman" w:cs="Times New Roman" w:eastAsiaTheme="minorEastAsia"/>
          <w:sz w:val="24"/>
          <w:szCs w:val="24"/>
        </w:rPr>
        <w:t>.我方同意询价文件规定的付款方式、</w:t>
      </w:r>
      <w:r>
        <w:rPr>
          <w:rFonts w:hint="eastAsia" w:ascii="Times New Roman" w:hAnsi="Times New Roman" w:cs="Times New Roman"/>
          <w:sz w:val="24"/>
          <w:szCs w:val="24"/>
          <w:lang w:val="en-US" w:eastAsia="zh-CN"/>
        </w:rPr>
        <w:t>服务</w:t>
      </w:r>
      <w:r>
        <w:rPr>
          <w:rFonts w:ascii="Times New Roman" w:hAnsi="Times New Roman" w:cs="Times New Roman" w:eastAsiaTheme="minorEastAsia"/>
          <w:sz w:val="24"/>
          <w:szCs w:val="24"/>
        </w:rPr>
        <w:t>期限。</w:t>
      </w:r>
    </w:p>
    <w:p w14:paraId="5FC1257C">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7</w:t>
      </w:r>
      <w:r>
        <w:rPr>
          <w:rFonts w:ascii="Times New Roman" w:hAnsi="Times New Roman" w:cs="Times New Roman" w:eastAsiaTheme="minorEastAsia"/>
          <w:sz w:val="24"/>
          <w:szCs w:val="24"/>
        </w:rPr>
        <w:t>.我方对投标文件中所提供资料、文件、证书及证件的真实性和有效性负责。</w:t>
      </w:r>
    </w:p>
    <w:p w14:paraId="6FDB41F2">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8</w:t>
      </w:r>
      <w:r>
        <w:rPr>
          <w:rFonts w:ascii="Times New Roman" w:hAnsi="Times New Roman" w:cs="Times New Roman" w:eastAsiaTheme="minorEastAsia"/>
          <w:sz w:val="24"/>
          <w:szCs w:val="24"/>
        </w:rPr>
        <w:t>.我方同意所提交的投标文件在询价文件规定的投标有效期内有效，在此期间内如果中标，我方将受此约束。</w:t>
      </w:r>
    </w:p>
    <w:p w14:paraId="2D2376FA">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9</w:t>
      </w:r>
      <w:r>
        <w:rPr>
          <w:rFonts w:ascii="Times New Roman" w:hAnsi="Times New Roman" w:cs="Times New Roman" w:eastAsiaTheme="minorEastAsia"/>
          <w:sz w:val="24"/>
          <w:szCs w:val="24"/>
        </w:rPr>
        <w:t>.除非另外达成协议并生效，你方的中标通知书和本投标文件以及询价文件、询价文件澄清、修改、补充将成为约束双方的合同文件的组成部分。</w:t>
      </w:r>
    </w:p>
    <w:p w14:paraId="1C8257BD">
      <w:pPr>
        <w:spacing w:line="360" w:lineRule="auto"/>
        <w:ind w:firstLine="480" w:firstLineChars="200"/>
        <w:rPr>
          <w:rFonts w:ascii="Times New Roman" w:hAnsi="Times New Roman" w:cs="Times New Roman"/>
        </w:rPr>
      </w:pPr>
      <w:r>
        <w:rPr>
          <w:rFonts w:hint="eastAsia" w:ascii="Times New Roman" w:hAnsi="Times New Roman" w:cs="Times New Roman"/>
          <w:sz w:val="24"/>
          <w:szCs w:val="24"/>
          <w:lang w:val="en-US" w:eastAsia="zh-CN"/>
        </w:rPr>
        <w:t>10</w:t>
      </w:r>
      <w:r>
        <w:rPr>
          <w:rFonts w:ascii="Times New Roman" w:hAnsi="Times New Roman" w:cs="Times New Roman" w:eastAsiaTheme="minorEastAsia"/>
          <w:sz w:val="24"/>
          <w:szCs w:val="24"/>
        </w:rPr>
        <w:t>.其他补充说明：</w:t>
      </w:r>
      <w:r>
        <w:rPr>
          <w:rFonts w:ascii="Times New Roman" w:hAnsi="Times New Roman" w:cs="Times New Roman" w:eastAsiaTheme="minorEastAsia"/>
          <w:sz w:val="24"/>
          <w:szCs w:val="24"/>
          <w:u w:val="single"/>
        </w:rPr>
        <w:t xml:space="preserve">             补充说明事项（如有）       </w:t>
      </w:r>
    </w:p>
    <w:p w14:paraId="7CCAE79C">
      <w:pPr>
        <w:pStyle w:val="21"/>
        <w:ind w:firstLine="210"/>
        <w:rPr>
          <w:rFonts w:ascii="Times New Roman" w:hAnsi="Times New Roman" w:cs="Times New Roman"/>
        </w:rPr>
      </w:pPr>
    </w:p>
    <w:p w14:paraId="2CE164B9">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14:paraId="15BA9E1E">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14:paraId="0E0F2003">
      <w:pPr>
        <w:widowControl/>
        <w:spacing w:line="360" w:lineRule="auto"/>
        <w:jc w:val="left"/>
        <w:rPr>
          <w:rFonts w:ascii="Times New Roman" w:hAnsi="Times New Roman" w:cs="Times New Roman" w:eastAsiaTheme="minorEastAsia"/>
          <w:b w:val="0"/>
          <w:sz w:val="24"/>
        </w:rPr>
      </w:pPr>
      <w:r>
        <w:rPr>
          <w:rFonts w:ascii="Times New Roman" w:hAnsi="Times New Roman" w:cs="Times New Roman" w:eastAsiaTheme="minorEastAsia"/>
          <w:b w:val="0"/>
          <w:sz w:val="24"/>
        </w:rPr>
        <w:br w:type="page"/>
      </w:r>
    </w:p>
    <w:p w14:paraId="3D90692B">
      <w:pPr>
        <w:spacing w:line="360" w:lineRule="auto"/>
        <w:jc w:val="center"/>
        <w:outlineLvl w:val="2"/>
        <w:rPr>
          <w:rFonts w:ascii="Times New Roman" w:hAnsi="Times New Roman" w:eastAsia="宋体" w:cs="Times New Roman"/>
          <w:b/>
          <w:sz w:val="24"/>
        </w:rPr>
      </w:pPr>
      <w:bookmarkStart w:id="18" w:name="_Toc516969106"/>
      <w:bookmarkStart w:id="19" w:name="_Toc3356"/>
      <w:bookmarkStart w:id="20" w:name="_Toc520983594"/>
      <w:bookmarkStart w:id="21" w:name="_Toc121626298"/>
      <w:bookmarkStart w:id="22" w:name="_Toc204594911"/>
      <w:r>
        <w:rPr>
          <w:rFonts w:hint="eastAsia" w:ascii="Times New Roman" w:hAnsi="Times New Roman" w:eastAsia="宋体" w:cs="Times New Roman"/>
          <w:b/>
          <w:sz w:val="24"/>
          <w:lang w:val="en-US" w:eastAsia="zh-CN"/>
        </w:rPr>
        <w:t>三</w:t>
      </w:r>
      <w:r>
        <w:rPr>
          <w:rFonts w:ascii="Times New Roman" w:hAnsi="Times New Roman" w:eastAsia="宋体" w:cs="Times New Roman"/>
          <w:b/>
          <w:sz w:val="24"/>
        </w:rPr>
        <w:t>、法定代表人（单位负责人）身份证明或授权委托书</w:t>
      </w:r>
    </w:p>
    <w:p w14:paraId="5160961B">
      <w:pPr>
        <w:spacing w:line="500" w:lineRule="exact"/>
        <w:ind w:firstLine="1164" w:firstLineChars="414"/>
        <w:rPr>
          <w:b/>
          <w:bCs/>
          <w:sz w:val="28"/>
          <w:szCs w:val="22"/>
        </w:rPr>
      </w:pPr>
    </w:p>
    <w:p w14:paraId="43554C51">
      <w:pPr>
        <w:spacing w:line="500" w:lineRule="exact"/>
        <w:jc w:val="center"/>
        <w:rPr>
          <w:rFonts w:eastAsia="黑体"/>
          <w:bCs/>
          <w:sz w:val="24"/>
        </w:rPr>
      </w:pPr>
      <w:r>
        <w:rPr>
          <w:rFonts w:eastAsia="黑体"/>
          <w:bCs/>
          <w:sz w:val="24"/>
        </w:rPr>
        <w:t>法定代表人（单位负责人）身份证明</w:t>
      </w:r>
    </w:p>
    <w:p w14:paraId="064B5CBB">
      <w:pPr>
        <w:spacing w:line="500" w:lineRule="exact"/>
        <w:ind w:left="765"/>
        <w:rPr>
          <w:szCs w:val="22"/>
        </w:rPr>
      </w:pPr>
    </w:p>
    <w:p w14:paraId="73BA1F12">
      <w:pPr>
        <w:spacing w:line="500" w:lineRule="exact"/>
        <w:rPr>
          <w:szCs w:val="21"/>
        </w:rPr>
      </w:pPr>
      <w:r>
        <w:rPr>
          <w:szCs w:val="21"/>
        </w:rPr>
        <w:t>投 标 人：</w:t>
      </w:r>
      <w:r>
        <w:rPr>
          <w:szCs w:val="21"/>
          <w:u w:val="single"/>
        </w:rPr>
        <w:t xml:space="preserve">                                                        </w:t>
      </w:r>
    </w:p>
    <w:p w14:paraId="637C7964">
      <w:pPr>
        <w:spacing w:line="500" w:lineRule="exact"/>
        <w:rPr>
          <w:szCs w:val="21"/>
        </w:rPr>
      </w:pPr>
      <w:r>
        <w:rPr>
          <w:szCs w:val="21"/>
        </w:rPr>
        <w:t>单位性质：</w:t>
      </w:r>
      <w:r>
        <w:rPr>
          <w:szCs w:val="21"/>
          <w:u w:val="single"/>
        </w:rPr>
        <w:t xml:space="preserve">                                                        </w:t>
      </w:r>
    </w:p>
    <w:p w14:paraId="2AB876E2">
      <w:pPr>
        <w:spacing w:line="500" w:lineRule="exact"/>
        <w:rPr>
          <w:szCs w:val="21"/>
        </w:rPr>
      </w:pPr>
      <w:r>
        <w:rPr>
          <w:szCs w:val="21"/>
        </w:rPr>
        <w:t>地    址：</w:t>
      </w:r>
      <w:r>
        <w:rPr>
          <w:szCs w:val="21"/>
          <w:u w:val="single"/>
        </w:rPr>
        <w:t xml:space="preserve">                                                        </w:t>
      </w:r>
    </w:p>
    <w:p w14:paraId="6D51D54A">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A19C503">
      <w:pPr>
        <w:spacing w:line="500" w:lineRule="exact"/>
        <w:rPr>
          <w:szCs w:val="21"/>
        </w:rPr>
      </w:pPr>
      <w:r>
        <w:rPr>
          <w:szCs w:val="21"/>
        </w:rPr>
        <w:t>经营期限：</w:t>
      </w:r>
      <w:r>
        <w:rPr>
          <w:szCs w:val="21"/>
          <w:u w:val="single"/>
        </w:rPr>
        <w:t xml:space="preserve">                                                        </w:t>
      </w:r>
    </w:p>
    <w:p w14:paraId="632C544F">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0A8E8623">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63D22BE9">
      <w:pPr>
        <w:spacing w:line="500" w:lineRule="exact"/>
        <w:rPr>
          <w:szCs w:val="21"/>
        </w:rPr>
      </w:pPr>
      <w:r>
        <w:rPr>
          <w:szCs w:val="21"/>
        </w:rPr>
        <w:t>系</w:t>
      </w:r>
      <w:r>
        <w:rPr>
          <w:szCs w:val="21"/>
          <w:u w:val="single"/>
        </w:rPr>
        <w:t xml:space="preserve">                                        </w:t>
      </w:r>
      <w:r>
        <w:rPr>
          <w:szCs w:val="21"/>
        </w:rPr>
        <w:t>（投标人名称）的法定代表人（单位负责人）。</w:t>
      </w:r>
    </w:p>
    <w:p w14:paraId="6ABC96BF">
      <w:pPr>
        <w:spacing w:line="500" w:lineRule="exact"/>
        <w:rPr>
          <w:szCs w:val="21"/>
        </w:rPr>
      </w:pPr>
      <w:r>
        <w:rPr>
          <w:szCs w:val="21"/>
        </w:rPr>
        <w:t>特此证明。</w:t>
      </w:r>
    </w:p>
    <w:p w14:paraId="6C3B2B56">
      <w:pPr>
        <w:spacing w:line="500" w:lineRule="exact"/>
        <w:rPr>
          <w:szCs w:val="21"/>
        </w:rPr>
      </w:pPr>
    </w:p>
    <w:p w14:paraId="3DA9EB0C">
      <w:pPr>
        <w:spacing w:line="500" w:lineRule="exact"/>
        <w:rPr>
          <w:szCs w:val="21"/>
        </w:rPr>
      </w:pPr>
    </w:p>
    <w:p w14:paraId="58759581">
      <w:pPr>
        <w:wordWrap w:val="0"/>
        <w:spacing w:line="500" w:lineRule="exact"/>
        <w:jc w:val="right"/>
        <w:rPr>
          <w:szCs w:val="21"/>
        </w:rPr>
      </w:pPr>
      <w:r>
        <w:rPr>
          <w:szCs w:val="21"/>
        </w:rPr>
        <w:t>投标人：</w:t>
      </w:r>
      <w:r>
        <w:rPr>
          <w:szCs w:val="21"/>
          <w:u w:val="single"/>
        </w:rPr>
        <w:t xml:space="preserve">                          </w:t>
      </w:r>
      <w:r>
        <w:rPr>
          <w:szCs w:val="21"/>
        </w:rPr>
        <w:t>（盖单位章）</w:t>
      </w:r>
    </w:p>
    <w:p w14:paraId="3E98A60A">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6CB1F3A0">
      <w:pPr>
        <w:spacing w:line="500" w:lineRule="exact"/>
        <w:ind w:firstLine="3840" w:firstLineChars="1600"/>
        <w:rPr>
          <w:sz w:val="24"/>
          <w:szCs w:val="22"/>
        </w:rPr>
      </w:pPr>
    </w:p>
    <w:p w14:paraId="4AB3098F">
      <w:pPr>
        <w:spacing w:line="500" w:lineRule="exact"/>
        <w:rPr>
          <w:b/>
          <w:bCs/>
          <w:sz w:val="24"/>
          <w:szCs w:val="22"/>
        </w:rPr>
      </w:pPr>
    </w:p>
    <w:p w14:paraId="2D1B1CA2">
      <w:pPr>
        <w:spacing w:line="500" w:lineRule="exact"/>
        <w:rPr>
          <w:b/>
          <w:bCs/>
          <w:sz w:val="24"/>
          <w:szCs w:val="22"/>
        </w:rPr>
      </w:pPr>
    </w:p>
    <w:p w14:paraId="2C7FA97B">
      <w:pPr>
        <w:spacing w:line="500" w:lineRule="exact"/>
        <w:rPr>
          <w:b/>
          <w:bCs/>
          <w:sz w:val="24"/>
          <w:szCs w:val="22"/>
        </w:rPr>
      </w:pPr>
    </w:p>
    <w:p w14:paraId="12E99FB3">
      <w:pPr>
        <w:spacing w:line="500" w:lineRule="exact"/>
        <w:jc w:val="center"/>
        <w:rPr>
          <w:rFonts w:hint="default" w:eastAsia="黑体"/>
          <w:sz w:val="32"/>
          <w:szCs w:val="32"/>
          <w:lang w:val="en-US" w:eastAsia="zh-CN"/>
        </w:rPr>
      </w:pPr>
      <w:bookmarkStart w:id="23" w:name="_Toc535241130"/>
      <w:bookmarkStart w:id="24" w:name="_Toc535241084"/>
      <w:bookmarkStart w:id="25" w:name="_Toc535241227"/>
      <w:bookmarkStart w:id="26" w:name="_Toc224103498"/>
      <w:bookmarkStart w:id="27" w:name="_Toc224103497"/>
      <w:r>
        <w:rPr>
          <w:sz w:val="32"/>
          <w:szCs w:val="32"/>
        </w:rPr>
        <w:br w:type="page"/>
      </w:r>
      <w:r>
        <w:rPr>
          <w:rFonts w:eastAsia="黑体"/>
          <w:bCs/>
          <w:sz w:val="24"/>
        </w:rPr>
        <w:t>授权委托书</w:t>
      </w:r>
      <w:bookmarkEnd w:id="23"/>
      <w:bookmarkEnd w:id="24"/>
      <w:bookmarkEnd w:id="25"/>
    </w:p>
    <w:p w14:paraId="304EE75B">
      <w:pPr>
        <w:spacing w:line="500" w:lineRule="exact"/>
      </w:pPr>
    </w:p>
    <w:p w14:paraId="2D8C38F4">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rFonts w:hint="eastAsia"/>
          <w:szCs w:val="21"/>
          <w:u w:val="single"/>
          <w:lang w:val="en-US" w:eastAsia="zh-CN"/>
        </w:rPr>
        <w:t>安徽环巢湖生态发展有限公司报废</w:t>
      </w:r>
      <w:r>
        <w:rPr>
          <w:rFonts w:hint="eastAsia"/>
          <w:szCs w:val="21"/>
          <w:u w:val="single"/>
          <w:lang w:eastAsia="zh-CN"/>
        </w:rPr>
        <w:t>资产评估项目</w:t>
      </w:r>
      <w:r>
        <w:rPr>
          <w:szCs w:val="21"/>
        </w:rPr>
        <w:t>投标文件、签订合同和处理有关事宜，其法律后果由我方承担。</w:t>
      </w:r>
    </w:p>
    <w:p w14:paraId="16A298F0">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14:paraId="07D363D2">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14:paraId="7A076E45">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04039C04">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14:paraId="700C1855">
      <w:pPr>
        <w:spacing w:line="500" w:lineRule="exact"/>
        <w:rPr>
          <w:szCs w:val="21"/>
        </w:rPr>
      </w:pPr>
    </w:p>
    <w:p w14:paraId="7DE81FC5">
      <w:pPr>
        <w:spacing w:line="500" w:lineRule="exact"/>
        <w:ind w:firstLine="3150" w:firstLineChars="1500"/>
        <w:rPr>
          <w:szCs w:val="21"/>
        </w:rPr>
      </w:pPr>
      <w:r>
        <w:rPr>
          <w:szCs w:val="21"/>
        </w:rPr>
        <w:t>投  标  人：</w:t>
      </w:r>
      <w:r>
        <w:rPr>
          <w:szCs w:val="21"/>
          <w:u w:val="single"/>
        </w:rPr>
        <w:t xml:space="preserve">                         </w:t>
      </w:r>
      <w:r>
        <w:rPr>
          <w:szCs w:val="21"/>
        </w:rPr>
        <w:t>（盖单位章）</w:t>
      </w:r>
    </w:p>
    <w:p w14:paraId="2A8FDB9D">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4055958E">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6DD43E34">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24BE80C">
      <w:pPr>
        <w:autoSpaceDE w:val="0"/>
        <w:autoSpaceDN w:val="0"/>
        <w:adjustRightInd w:val="0"/>
        <w:snapToGrid w:val="0"/>
        <w:spacing w:line="500" w:lineRule="exact"/>
        <w:jc w:val="left"/>
        <w:rPr>
          <w:kern w:val="0"/>
          <w:szCs w:val="22"/>
        </w:rPr>
      </w:pPr>
    </w:p>
    <w:p w14:paraId="4F91314B">
      <w:pPr>
        <w:tabs>
          <w:tab w:val="left" w:pos="5760"/>
        </w:tabs>
        <w:autoSpaceDE w:val="0"/>
        <w:autoSpaceDN w:val="0"/>
        <w:adjustRightInd w:val="0"/>
        <w:spacing w:line="500" w:lineRule="exact"/>
        <w:ind w:right="11"/>
        <w:rPr>
          <w:kern w:val="0"/>
          <w:szCs w:val="22"/>
        </w:rPr>
      </w:pPr>
      <w:r>
        <w:rPr>
          <w:kern w:val="0"/>
          <w:szCs w:val="22"/>
        </w:rPr>
        <w:t>注：</w:t>
      </w:r>
    </w:p>
    <w:p w14:paraId="0C535DDB">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26"/>
      <w:bookmarkEnd w:id="27"/>
    </w:p>
    <w:p w14:paraId="1A6E78BC">
      <w:pPr>
        <w:spacing w:line="360" w:lineRule="auto"/>
        <w:ind w:firstLine="435"/>
        <w:jc w:val="center"/>
        <w:rPr>
          <w:sz w:val="24"/>
          <w:szCs w:val="22"/>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kern w:val="0"/>
          <w:szCs w:val="22"/>
        </w:rPr>
        <w:br w:type="page"/>
      </w:r>
      <w:bookmarkEnd w:id="18"/>
      <w:bookmarkEnd w:id="19"/>
      <w:bookmarkEnd w:id="20"/>
      <w:bookmarkEnd w:id="21"/>
      <w:bookmarkEnd w:id="22"/>
    </w:p>
    <w:p w14:paraId="7ABB7AF8">
      <w:pPr>
        <w:pStyle w:val="2"/>
        <w:ind w:left="0" w:leftChars="0" w:firstLine="0" w:firstLineChars="0"/>
        <w:rPr>
          <w:sz w:val="24"/>
          <w:szCs w:val="22"/>
        </w:rPr>
      </w:pPr>
    </w:p>
    <w:p w14:paraId="1A9634DC">
      <w:pPr>
        <w:spacing w:line="360" w:lineRule="auto"/>
        <w:jc w:val="center"/>
        <w:outlineLvl w:val="1"/>
        <w:rPr>
          <w:rFonts w:hint="eastAsia" w:asciiTheme="minorEastAsia" w:hAnsiTheme="minorEastAsia" w:eastAsiaTheme="minorEastAsia"/>
          <w:b/>
          <w:sz w:val="24"/>
          <w:szCs w:val="20"/>
        </w:rPr>
      </w:pPr>
      <w:r>
        <w:rPr>
          <w:rFonts w:hint="eastAsia" w:asciiTheme="minorEastAsia" w:hAnsiTheme="minorEastAsia"/>
          <w:b/>
          <w:sz w:val="24"/>
          <w:szCs w:val="20"/>
          <w:lang w:val="en-US" w:eastAsia="zh-CN"/>
        </w:rPr>
        <w:t>四</w:t>
      </w:r>
      <w:r>
        <w:rPr>
          <w:rFonts w:hint="eastAsia" w:asciiTheme="minorEastAsia" w:hAnsiTheme="minorEastAsia" w:eastAsiaTheme="minorEastAsia"/>
          <w:b/>
          <w:sz w:val="24"/>
          <w:szCs w:val="20"/>
          <w:lang w:val="en-US" w:eastAsia="zh-CN"/>
        </w:rPr>
        <w:t>、</w:t>
      </w:r>
      <w:r>
        <w:rPr>
          <w:rFonts w:hint="eastAsia" w:asciiTheme="minorEastAsia" w:hAnsiTheme="minorEastAsia" w:eastAsiaTheme="minorEastAsia"/>
          <w:b/>
          <w:sz w:val="24"/>
          <w:szCs w:val="20"/>
        </w:rPr>
        <w:t>其他相关证明材料</w:t>
      </w:r>
    </w:p>
    <w:p w14:paraId="6124FE57">
      <w:pPr>
        <w:pStyle w:val="2"/>
        <w:numPr>
          <w:ilvl w:val="-1"/>
          <w:numId w:val="0"/>
        </w:numPr>
        <w:ind w:left="400" w:firstLine="0"/>
        <w:rPr>
          <w:rFonts w:hint="eastAsia"/>
          <w:sz w:val="24"/>
          <w:szCs w:val="22"/>
        </w:rPr>
      </w:pPr>
      <w:r>
        <w:rPr>
          <w:rFonts w:hint="eastAsia"/>
          <w:sz w:val="24"/>
          <w:szCs w:val="22"/>
        </w:rPr>
        <w:t>提供符合询价公告、招标人要求及评审方法规定的相关证明文件。</w:t>
      </w:r>
    </w:p>
    <w:p w14:paraId="0117408F">
      <w:pPr>
        <w:pStyle w:val="2"/>
        <w:numPr>
          <w:ilvl w:val="0"/>
          <w:numId w:val="0"/>
        </w:numPr>
        <w:spacing w:line="360" w:lineRule="auto"/>
        <w:ind w:left="400" w:firstLine="0"/>
        <w:rPr>
          <w:rFonts w:ascii="Times New Roman" w:hAnsi="Times New Roman" w:cs="Times New Roman" w:eastAsiaTheme="minorEastAsia"/>
          <w:sz w:val="24"/>
        </w:rPr>
      </w:pPr>
      <w:r>
        <w:rPr>
          <w:rFonts w:hint="eastAsia"/>
          <w:sz w:val="24"/>
          <w:szCs w:val="22"/>
          <w:lang w:eastAsia="zh-CN"/>
        </w:rPr>
        <w:t>（</w:t>
      </w:r>
      <w:r>
        <w:rPr>
          <w:rFonts w:hint="eastAsia"/>
          <w:sz w:val="24"/>
          <w:szCs w:val="22"/>
          <w:lang w:val="en-US" w:eastAsia="zh-CN"/>
        </w:rPr>
        <w:t>营业执照等</w:t>
      </w:r>
      <w:r>
        <w:rPr>
          <w:rFonts w:hint="eastAsia"/>
          <w:sz w:val="24"/>
          <w:szCs w:val="22"/>
          <w:lang w:eastAsia="zh-CN"/>
        </w:rPr>
        <w:t>）</w:t>
      </w:r>
      <w:bookmarkEnd w:id="17"/>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1393F3C-378B-4EC3-9295-8119C92C798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47FA317-3EBC-454F-8774-2248AABA1E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A2DDA998-3BC0-49D2-82A1-EE867D96559C}"/>
  </w:font>
  <w:font w:name="@仿宋_GB2312">
    <w:panose1 w:val="02010609030101010101"/>
    <w:charset w:val="86"/>
    <w:family w:val="modern"/>
    <w:pitch w:val="default"/>
    <w:sig w:usb0="00000001" w:usb1="080E0000" w:usb2="00000000" w:usb3="00000000" w:csb0="00040000" w:csb1="00000000"/>
    <w:embedRegular r:id="rId4" w:fontKey="{662FE447-3E25-43BF-8853-5540832C9EBA}"/>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otumChe">
    <w:altName w:val="Malgun Gothic"/>
    <w:panose1 w:val="00000000000000000000"/>
    <w:charset w:val="81"/>
    <w:family w:val="modern"/>
    <w:pitch w:val="default"/>
    <w:sig w:usb0="00000000" w:usb1="00000000" w:usb2="00000030" w:usb3="00000000" w:csb0="0008009F" w:csb1="00000000"/>
    <w:embedRegular r:id="rId5" w:fontKey="{EA0AB484-A7C6-4813-BA4C-8D80ED75B9CE}"/>
  </w:font>
  <w:font w:name="Malgun Gothic">
    <w:panose1 w:val="020B0503020000020004"/>
    <w:charset w:val="81"/>
    <w:family w:val="auto"/>
    <w:pitch w:val="default"/>
    <w:sig w:usb0="9000002F" w:usb1="29D77CFB" w:usb2="00000012" w:usb3="00000000" w:csb0="00080001" w:csb1="00000000"/>
  </w:font>
  <w:font w:name="Wingdings 2">
    <w:panose1 w:val="05020102010507070707"/>
    <w:charset w:val="02"/>
    <w:family w:val="roman"/>
    <w:pitch w:val="default"/>
    <w:sig w:usb0="00000000" w:usb1="00000000" w:usb2="00000000" w:usb3="00000000" w:csb0="80000000" w:csb1="00000000"/>
    <w:embedRegular r:id="rId6" w:fontKey="{FB9BB0F3-6957-4A17-8DA4-BC2AF6756A51}"/>
  </w:font>
  <w:font w:name="Segoe UI Symbol">
    <w:panose1 w:val="020B0502040204020203"/>
    <w:charset w:val="00"/>
    <w:family w:val="swiss"/>
    <w:pitch w:val="default"/>
    <w:sig w:usb0="800001E3" w:usb1="1200FFEF" w:usb2="00040000" w:usb3="04000000" w:csb0="00000001" w:csb1="40000000"/>
    <w:embedRegular r:id="rId7" w:fontKey="{C58A5904-FA4F-4C40-B6FD-E8B843C15C2E}"/>
  </w:font>
  <w:font w:name="微软雅黑">
    <w:panose1 w:val="020B0503020204020204"/>
    <w:charset w:val="86"/>
    <w:family w:val="auto"/>
    <w:pitch w:val="default"/>
    <w:sig w:usb0="80000287" w:usb1="2ACF3C50" w:usb2="00000016" w:usb3="00000000" w:csb0="0004001F" w:csb1="00000000"/>
    <w:embedRegular r:id="rId8" w:fontKey="{72914C46-0BC6-4A77-8700-B232BF408B89}"/>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FFDF">
    <w:pPr>
      <w:pStyle w:val="16"/>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26B56">
    <w:pPr>
      <w:pStyle w:val="16"/>
      <w:jc w:val="center"/>
      <w:rPr>
        <w:rFonts w:asciiTheme="minorEastAsia" w:hAnsiTheme="minorEastAsia"/>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C505F">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8C505F">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AEAB">
    <w:pPr>
      <w:pStyle w:val="16"/>
      <w:jc w:val="left"/>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3A16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93A16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92220">
    <w:pPr>
      <w:pStyle w:val="16"/>
      <w:jc w:val="left"/>
      <w:rPr>
        <w:rFonts w:asciiTheme="minorEastAsia" w:hAnsiTheme="minorEastAsia" w:eastAsiaTheme="minorEastAsia"/>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B201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8B2016">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2781F">
    <w:pPr>
      <w:pBdr>
        <w:bottom w:val="none" w:color="auto" w:sz="0" w:space="1"/>
      </w:pBdr>
      <w:snapToGrid w:val="0"/>
      <w:rPr>
        <w:rFonts w:hint="eastAsia" w:ascii="Times New Roman" w:hAnsi="Times New Roman" w:eastAsia="宋体" w:cs="Times New Roman"/>
        <w:sz w:val="24"/>
        <w:szCs w:val="24"/>
        <w:lang w:eastAsia="zh-CN"/>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合肥文旅博览集团有限公司</w:t>
    </w:r>
    <w:r>
      <w:rPr>
        <w:rFonts w:hint="eastAsia" w:ascii="Times New Roman" w:hAnsi="Times New Roman" w:eastAsia="宋体" w:cs="Times New Roman"/>
        <w:sz w:val="24"/>
        <w:szCs w:val="24"/>
        <w:u w:val="single"/>
        <w:lang w:val="en-US" w:eastAsia="zh-CN"/>
      </w:rPr>
      <w:t>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服务</w:t>
    </w:r>
    <w:r>
      <w:rPr>
        <w:rFonts w:hint="eastAsia" w:ascii="Times New Roman" w:hAnsi="Times New Roman" w:eastAsia="宋体" w:cs="Times New Roman"/>
        <w:sz w:val="24"/>
        <w:szCs w:val="24"/>
        <w:u w:val="single"/>
      </w:rPr>
      <w:t>类</w:t>
    </w:r>
    <w:r>
      <w:rPr>
        <w:rFonts w:hint="eastAsia" w:ascii="Times New Roman" w:hAnsi="Times New Roman" w:eastAsia="宋体" w:cs="Times New Roman"/>
        <w:sz w:val="24"/>
        <w:szCs w:val="24"/>
        <w:u w:val="single"/>
        <w:lang w:eastAsia="zh-CN"/>
      </w:rPr>
      <w:t>）</w:t>
    </w:r>
  </w:p>
  <w:p w14:paraId="42301D65">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MzNhMmRjNTU4MzE5ZWY2ZjQ5YWI4MTk1MzQ4ZjY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EF4560"/>
    <w:rsid w:val="03A366B8"/>
    <w:rsid w:val="03AF0B69"/>
    <w:rsid w:val="04096F7B"/>
    <w:rsid w:val="04461F7D"/>
    <w:rsid w:val="04620439"/>
    <w:rsid w:val="05AF3BC6"/>
    <w:rsid w:val="05EC3108"/>
    <w:rsid w:val="06257970"/>
    <w:rsid w:val="0874206E"/>
    <w:rsid w:val="08B104A7"/>
    <w:rsid w:val="094A1BE5"/>
    <w:rsid w:val="097D52B6"/>
    <w:rsid w:val="09B554AF"/>
    <w:rsid w:val="0B3618C6"/>
    <w:rsid w:val="0B79062D"/>
    <w:rsid w:val="0BEF5F39"/>
    <w:rsid w:val="0D9F46D5"/>
    <w:rsid w:val="0DAB22C6"/>
    <w:rsid w:val="10907E3C"/>
    <w:rsid w:val="11554019"/>
    <w:rsid w:val="129462CC"/>
    <w:rsid w:val="13397BCE"/>
    <w:rsid w:val="1402016C"/>
    <w:rsid w:val="14717EAE"/>
    <w:rsid w:val="14AB1989"/>
    <w:rsid w:val="1518250E"/>
    <w:rsid w:val="17356927"/>
    <w:rsid w:val="18B232E6"/>
    <w:rsid w:val="18F71640"/>
    <w:rsid w:val="19A4731C"/>
    <w:rsid w:val="1A357A52"/>
    <w:rsid w:val="1A455FB4"/>
    <w:rsid w:val="1A6A3C67"/>
    <w:rsid w:val="1A6B5E42"/>
    <w:rsid w:val="1AF96A3E"/>
    <w:rsid w:val="1B5F527B"/>
    <w:rsid w:val="1C1F6775"/>
    <w:rsid w:val="1C9D605B"/>
    <w:rsid w:val="1CDB6B83"/>
    <w:rsid w:val="1D051918"/>
    <w:rsid w:val="1D1A5BC6"/>
    <w:rsid w:val="1D7719BD"/>
    <w:rsid w:val="1DAA2521"/>
    <w:rsid w:val="1E0D5E74"/>
    <w:rsid w:val="20E74328"/>
    <w:rsid w:val="23B75C54"/>
    <w:rsid w:val="245F009A"/>
    <w:rsid w:val="250550E5"/>
    <w:rsid w:val="25164BFC"/>
    <w:rsid w:val="25464F70"/>
    <w:rsid w:val="26522036"/>
    <w:rsid w:val="2783171D"/>
    <w:rsid w:val="280B47C0"/>
    <w:rsid w:val="29E5020D"/>
    <w:rsid w:val="2A6C3A96"/>
    <w:rsid w:val="2C247DAC"/>
    <w:rsid w:val="2CC14B77"/>
    <w:rsid w:val="2DAC3BFD"/>
    <w:rsid w:val="2F733923"/>
    <w:rsid w:val="2F760751"/>
    <w:rsid w:val="2F8B608C"/>
    <w:rsid w:val="30925CD9"/>
    <w:rsid w:val="30D22C27"/>
    <w:rsid w:val="310475BC"/>
    <w:rsid w:val="31440D1D"/>
    <w:rsid w:val="31AB01F8"/>
    <w:rsid w:val="31EB11BF"/>
    <w:rsid w:val="32D57EA5"/>
    <w:rsid w:val="33075DFB"/>
    <w:rsid w:val="33263D6A"/>
    <w:rsid w:val="34C72619"/>
    <w:rsid w:val="35A43BDE"/>
    <w:rsid w:val="35CF4AD8"/>
    <w:rsid w:val="36032F7B"/>
    <w:rsid w:val="36251143"/>
    <w:rsid w:val="379C71E3"/>
    <w:rsid w:val="39B74BDE"/>
    <w:rsid w:val="3A0D2667"/>
    <w:rsid w:val="3B3A7AF1"/>
    <w:rsid w:val="3B3B6D13"/>
    <w:rsid w:val="3C053F08"/>
    <w:rsid w:val="3E6B44CD"/>
    <w:rsid w:val="3F2530A2"/>
    <w:rsid w:val="3F53046B"/>
    <w:rsid w:val="3F6705F7"/>
    <w:rsid w:val="3FF95957"/>
    <w:rsid w:val="40780A59"/>
    <w:rsid w:val="42784CF1"/>
    <w:rsid w:val="42875987"/>
    <w:rsid w:val="43790D20"/>
    <w:rsid w:val="454B0E8F"/>
    <w:rsid w:val="4561381B"/>
    <w:rsid w:val="46835828"/>
    <w:rsid w:val="469F1ACD"/>
    <w:rsid w:val="488E28EE"/>
    <w:rsid w:val="48EC1365"/>
    <w:rsid w:val="4BDA4326"/>
    <w:rsid w:val="4DB311C4"/>
    <w:rsid w:val="4E920EE8"/>
    <w:rsid w:val="503B1382"/>
    <w:rsid w:val="51105534"/>
    <w:rsid w:val="52F82D96"/>
    <w:rsid w:val="547B4EA9"/>
    <w:rsid w:val="54EB010D"/>
    <w:rsid w:val="550F7B55"/>
    <w:rsid w:val="55122FD8"/>
    <w:rsid w:val="55926D29"/>
    <w:rsid w:val="57081D47"/>
    <w:rsid w:val="57572CCF"/>
    <w:rsid w:val="57A558EC"/>
    <w:rsid w:val="58CC02DB"/>
    <w:rsid w:val="58E53EC8"/>
    <w:rsid w:val="599B1268"/>
    <w:rsid w:val="59E766FB"/>
    <w:rsid w:val="5AF2460E"/>
    <w:rsid w:val="5C3F2EED"/>
    <w:rsid w:val="5C8968EE"/>
    <w:rsid w:val="5CF62206"/>
    <w:rsid w:val="5E1F65BC"/>
    <w:rsid w:val="5EF63F85"/>
    <w:rsid w:val="5F1C412F"/>
    <w:rsid w:val="5F596331"/>
    <w:rsid w:val="602C2F4B"/>
    <w:rsid w:val="60B151FE"/>
    <w:rsid w:val="63716633"/>
    <w:rsid w:val="643D1B94"/>
    <w:rsid w:val="64586600"/>
    <w:rsid w:val="654B14AA"/>
    <w:rsid w:val="65B67155"/>
    <w:rsid w:val="6709554C"/>
    <w:rsid w:val="67B8418F"/>
    <w:rsid w:val="68A779A6"/>
    <w:rsid w:val="6AF723A7"/>
    <w:rsid w:val="6B486391"/>
    <w:rsid w:val="6BE566A3"/>
    <w:rsid w:val="6CC45353"/>
    <w:rsid w:val="6CC632BF"/>
    <w:rsid w:val="6CDE4879"/>
    <w:rsid w:val="6E1A0886"/>
    <w:rsid w:val="6E4A6392"/>
    <w:rsid w:val="7016507D"/>
    <w:rsid w:val="71B0505E"/>
    <w:rsid w:val="73E35E45"/>
    <w:rsid w:val="74561EEC"/>
    <w:rsid w:val="74F80B83"/>
    <w:rsid w:val="75387844"/>
    <w:rsid w:val="76D50550"/>
    <w:rsid w:val="772F044F"/>
    <w:rsid w:val="77324D59"/>
    <w:rsid w:val="78090D95"/>
    <w:rsid w:val="781A1271"/>
    <w:rsid w:val="783A06B1"/>
    <w:rsid w:val="78435456"/>
    <w:rsid w:val="79B61C5A"/>
    <w:rsid w:val="7A372516"/>
    <w:rsid w:val="7A9D7D6A"/>
    <w:rsid w:val="7AAF0711"/>
    <w:rsid w:val="7ACD0A2E"/>
    <w:rsid w:val="7DB87774"/>
    <w:rsid w:val="7E524D23"/>
    <w:rsid w:val="7F452AC7"/>
    <w:rsid w:val="7F7F0B08"/>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link w:val="48"/>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link w:val="53"/>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qFormat/>
    <w:uiPriority w:val="0"/>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next w:val="4"/>
    <w:autoRedefine/>
    <w:semiHidden/>
    <w:unhideWhenUsed/>
    <w:qFormat/>
    <w:uiPriority w:val="0"/>
    <w:pPr>
      <w:spacing w:after="120"/>
      <w:ind w:left="420" w:leftChars="200"/>
    </w:pPr>
  </w:style>
  <w:style w:type="paragraph" w:styleId="4">
    <w:name w:val="envelope return"/>
    <w:basedOn w:val="1"/>
    <w:autoRedefine/>
    <w:qFormat/>
    <w:uiPriority w:val="0"/>
  </w:style>
  <w:style w:type="paragraph" w:styleId="9">
    <w:name w:val="Normal Indent"/>
    <w:basedOn w:val="1"/>
    <w:autoRedefine/>
    <w:qFormat/>
    <w:uiPriority w:val="0"/>
    <w:pPr>
      <w:ind w:firstLine="420" w:firstLineChars="200"/>
    </w:pPr>
  </w:style>
  <w:style w:type="paragraph" w:styleId="10">
    <w:name w:val="annotation text"/>
    <w:basedOn w:val="1"/>
    <w:link w:val="45"/>
    <w:autoRedefine/>
    <w:qFormat/>
    <w:uiPriority w:val="0"/>
    <w:pPr>
      <w:jc w:val="left"/>
    </w:pPr>
  </w:style>
  <w:style w:type="paragraph" w:styleId="11">
    <w:name w:val="Body Text"/>
    <w:basedOn w:val="1"/>
    <w:autoRedefine/>
    <w:qFormat/>
    <w:uiPriority w:val="0"/>
    <w:pPr>
      <w:spacing w:after="120" w:afterLines="0" w:afterAutospacing="0"/>
    </w:pPr>
  </w:style>
  <w:style w:type="paragraph" w:styleId="12">
    <w:name w:val="toc 3"/>
    <w:basedOn w:val="1"/>
    <w:next w:val="1"/>
    <w:autoRedefine/>
    <w:qFormat/>
    <w:uiPriority w:val="0"/>
    <w:pPr>
      <w:ind w:left="840" w:leftChars="400"/>
    </w:pPr>
  </w:style>
  <w:style w:type="paragraph" w:styleId="13">
    <w:name w:val="Plain Text"/>
    <w:basedOn w:val="1"/>
    <w:link w:val="34"/>
    <w:autoRedefine/>
    <w:qFormat/>
    <w:uiPriority w:val="0"/>
    <w:rPr>
      <w:rFonts w:ascii="宋体" w:hAnsi="Courier New"/>
    </w:rPr>
  </w:style>
  <w:style w:type="paragraph" w:styleId="14">
    <w:name w:val="Date"/>
    <w:basedOn w:val="1"/>
    <w:next w:val="1"/>
    <w:link w:val="41"/>
    <w:autoRedefine/>
    <w:qFormat/>
    <w:uiPriority w:val="0"/>
    <w:pPr>
      <w:ind w:left="100" w:leftChars="2500"/>
    </w:pPr>
  </w:style>
  <w:style w:type="paragraph" w:styleId="15">
    <w:name w:val="Balloon Text"/>
    <w:basedOn w:val="1"/>
    <w:link w:val="28"/>
    <w:autoRedefine/>
    <w:qFormat/>
    <w:uiPriority w:val="0"/>
    <w:rPr>
      <w:sz w:val="18"/>
    </w:rPr>
  </w:style>
  <w:style w:type="paragraph" w:styleId="16">
    <w:name w:val="footer"/>
    <w:basedOn w:val="1"/>
    <w:link w:val="33"/>
    <w:autoRedefine/>
    <w:qFormat/>
    <w:uiPriority w:val="0"/>
    <w:pPr>
      <w:tabs>
        <w:tab w:val="center" w:pos="4153"/>
        <w:tab w:val="right" w:pos="8306"/>
      </w:tabs>
      <w:snapToGrid w:val="0"/>
      <w:jc w:val="left"/>
    </w:pPr>
    <w:rPr>
      <w:sz w:val="18"/>
    </w:rPr>
  </w:style>
  <w:style w:type="paragraph" w:styleId="17">
    <w:name w:val="header"/>
    <w:basedOn w:val="1"/>
    <w:link w:val="3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toc 2"/>
    <w:basedOn w:val="1"/>
    <w:next w:val="1"/>
    <w:autoRedefine/>
    <w:qFormat/>
    <w:uiPriority w:val="0"/>
    <w:pPr>
      <w:ind w:left="420" w:leftChars="200"/>
    </w:pPr>
  </w:style>
  <w:style w:type="paragraph" w:styleId="20">
    <w:name w:val="index 1"/>
    <w:basedOn w:val="1"/>
    <w:next w:val="1"/>
    <w:autoRedefine/>
    <w:qFormat/>
    <w:uiPriority w:val="0"/>
  </w:style>
  <w:style w:type="paragraph" w:styleId="21">
    <w:name w:val="Body Text First Indent"/>
    <w:basedOn w:val="11"/>
    <w:autoRedefine/>
    <w:qFormat/>
    <w:uiPriority w:val="0"/>
    <w:pPr>
      <w:ind w:firstLine="420" w:firstLineChars="100"/>
    </w:pPr>
  </w:style>
  <w:style w:type="table" w:styleId="23">
    <w:name w:val="Table Grid"/>
    <w:basedOn w:val="22"/>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Emphasis"/>
    <w:basedOn w:val="24"/>
    <w:autoRedefine/>
    <w:qFormat/>
    <w:uiPriority w:val="0"/>
    <w:rPr>
      <w:i/>
    </w:rPr>
  </w:style>
  <w:style w:type="character" w:styleId="27">
    <w:name w:val="Hyperlink"/>
    <w:basedOn w:val="24"/>
    <w:autoRedefine/>
    <w:qFormat/>
    <w:uiPriority w:val="0"/>
    <w:rPr>
      <w:color w:val="0000FF"/>
      <w:u w:val="single"/>
    </w:rPr>
  </w:style>
  <w:style w:type="character" w:customStyle="1" w:styleId="28">
    <w:name w:val="批注框文本 字符"/>
    <w:link w:val="15"/>
    <w:autoRedefine/>
    <w:semiHidden/>
    <w:qFormat/>
    <w:uiPriority w:val="99"/>
    <w:rPr>
      <w:sz w:val="18"/>
    </w:rPr>
  </w:style>
  <w:style w:type="paragraph" w:customStyle="1" w:styleId="29">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1">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7"/>
    <w:autoRedefine/>
    <w:qFormat/>
    <w:uiPriority w:val="0"/>
    <w:rPr>
      <w:sz w:val="18"/>
    </w:rPr>
  </w:style>
  <w:style w:type="character" w:customStyle="1" w:styleId="33">
    <w:name w:val="页脚 字符"/>
    <w:link w:val="16"/>
    <w:autoRedefine/>
    <w:qFormat/>
    <w:uiPriority w:val="99"/>
    <w:rPr>
      <w:sz w:val="18"/>
    </w:rPr>
  </w:style>
  <w:style w:type="character" w:customStyle="1" w:styleId="34">
    <w:name w:val="纯文本 字符"/>
    <w:link w:val="13"/>
    <w:autoRedefine/>
    <w:qFormat/>
    <w:uiPriority w:val="0"/>
    <w:rPr>
      <w:rFonts w:ascii="宋体" w:hAnsi="Courier New"/>
    </w:rPr>
  </w:style>
  <w:style w:type="character" w:customStyle="1" w:styleId="35">
    <w:name w:val="纯文本 字符1"/>
    <w:basedOn w:val="24"/>
    <w:autoRedefine/>
    <w:semiHidden/>
    <w:qFormat/>
    <w:uiPriority w:val="99"/>
    <w:rPr>
      <w:rFonts w:hAnsi="Courier New" w:cs="Courier New" w:asciiTheme="minorEastAsia"/>
      <w:szCs w:val="20"/>
    </w:rPr>
  </w:style>
  <w:style w:type="character" w:customStyle="1" w:styleId="36">
    <w:name w:val="未处理的提及1"/>
    <w:basedOn w:val="24"/>
    <w:autoRedefine/>
    <w:semiHidden/>
    <w:unhideWhenUsed/>
    <w:qFormat/>
    <w:uiPriority w:val="99"/>
    <w:rPr>
      <w:color w:val="605E5C"/>
      <w:shd w:val="clear" w:color="auto" w:fill="E1DFDD"/>
    </w:rPr>
  </w:style>
  <w:style w:type="paragraph" w:styleId="37">
    <w:name w:val="List Paragraph"/>
    <w:basedOn w:val="1"/>
    <w:autoRedefine/>
    <w:qFormat/>
    <w:uiPriority w:val="34"/>
    <w:pPr>
      <w:ind w:firstLine="420" w:firstLineChars="200"/>
    </w:pPr>
  </w:style>
  <w:style w:type="paragraph" w:customStyle="1" w:styleId="38">
    <w:name w:val="Char Char Char Char Char Char Char1 Char"/>
    <w:basedOn w:val="1"/>
    <w:autoRedefine/>
    <w:qFormat/>
    <w:uiPriority w:val="0"/>
    <w:rPr>
      <w:rFonts w:ascii="Arial" w:hAnsi="Arial" w:eastAsia="宋体" w:cs="Arial"/>
      <w:sz w:val="24"/>
    </w:rPr>
  </w:style>
  <w:style w:type="table" w:customStyle="1" w:styleId="39">
    <w:name w:val="网格表 1 浅色1"/>
    <w:basedOn w:val="22"/>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autoRedefine/>
    <w:semiHidden/>
    <w:qFormat/>
    <w:uiPriority w:val="99"/>
    <w:rPr>
      <w:rFonts w:ascii="@仿宋_GB2312" w:hAnsi="@仿宋_GB2312" w:eastAsia="@仿宋_GB2312" w:cs="@仿宋_GB2312"/>
      <w:szCs w:val="20"/>
    </w:rPr>
  </w:style>
  <w:style w:type="character" w:customStyle="1" w:styleId="41">
    <w:name w:val="日期 字符1"/>
    <w:link w:val="14"/>
    <w:autoRedefine/>
    <w:qFormat/>
    <w:uiPriority w:val="0"/>
  </w:style>
  <w:style w:type="character" w:customStyle="1" w:styleId="42">
    <w:name w:val="纯文本 Char1"/>
    <w:link w:val="43"/>
    <w:autoRedefine/>
    <w:qFormat/>
    <w:locked/>
    <w:uiPriority w:val="0"/>
    <w:rPr>
      <w:rFonts w:ascii="Arial" w:hAnsi="Arial" w:eastAsia="Arial"/>
      <w:kern w:val="2"/>
      <w:sz w:val="21"/>
      <w:lang w:val="en-US" w:eastAsia="zh-CN" w:bidi="ar-SA"/>
    </w:rPr>
  </w:style>
  <w:style w:type="paragraph" w:customStyle="1" w:styleId="43">
    <w:name w:val="纯文本1"/>
    <w:basedOn w:val="1"/>
    <w:link w:val="42"/>
    <w:autoRedefine/>
    <w:qFormat/>
    <w:uiPriority w:val="0"/>
    <w:rPr>
      <w:rFonts w:ascii="Arial" w:hAnsi="Arial" w:eastAsia="Arial" w:cstheme="minorBidi"/>
      <w:szCs w:val="22"/>
    </w:rPr>
  </w:style>
  <w:style w:type="character" w:customStyle="1" w:styleId="44">
    <w:name w:val="批注文字 Char"/>
    <w:basedOn w:val="24"/>
    <w:autoRedefine/>
    <w:semiHidden/>
    <w:qFormat/>
    <w:uiPriority w:val="99"/>
    <w:rPr>
      <w:rFonts w:ascii="@仿宋_GB2312" w:hAnsi="@仿宋_GB2312" w:eastAsia="@仿宋_GB2312" w:cs="@仿宋_GB2312"/>
      <w:szCs w:val="20"/>
    </w:rPr>
  </w:style>
  <w:style w:type="character" w:customStyle="1" w:styleId="45">
    <w:name w:val="批注文字 字符"/>
    <w:link w:val="10"/>
    <w:autoRedefine/>
    <w:qFormat/>
    <w:uiPriority w:val="0"/>
  </w:style>
  <w:style w:type="character" w:customStyle="1" w:styleId="46">
    <w:name w:val="标题 1 字符"/>
    <w:link w:val="5"/>
    <w:autoRedefine/>
    <w:qFormat/>
    <w:uiPriority w:val="9"/>
    <w:rPr>
      <w:b/>
      <w:kern w:val="44"/>
      <w:sz w:val="44"/>
    </w:rPr>
  </w:style>
  <w:style w:type="paragraph" w:customStyle="1" w:styleId="47">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7"/>
    <w:autoRedefine/>
    <w:semiHidden/>
    <w:qFormat/>
    <w:uiPriority w:val="9"/>
    <w:rPr>
      <w:b/>
      <w:sz w:val="32"/>
    </w:rPr>
  </w:style>
  <w:style w:type="character" w:customStyle="1" w:styleId="49">
    <w:name w:val="fontstyle01"/>
    <w:basedOn w:val="24"/>
    <w:autoRedefine/>
    <w:qFormat/>
    <w:uiPriority w:val="0"/>
    <w:rPr>
      <w:rFonts w:hint="eastAsia" w:ascii="宋体" w:hAnsi="宋体" w:eastAsia="宋体"/>
      <w:color w:val="000000"/>
      <w:sz w:val="22"/>
      <w:szCs w:val="22"/>
    </w:rPr>
  </w:style>
  <w:style w:type="character" w:customStyle="1" w:styleId="50">
    <w:name w:val="fontstyle21"/>
    <w:basedOn w:val="24"/>
    <w:autoRedefine/>
    <w:qFormat/>
    <w:uiPriority w:val="0"/>
    <w:rPr>
      <w:rFonts w:hint="default" w:ascii="TimesNewRomanPSMT" w:hAnsi="TimesNewRomanPSMT"/>
      <w:color w:val="000000"/>
      <w:sz w:val="22"/>
      <w:szCs w:val="22"/>
    </w:rPr>
  </w:style>
  <w:style w:type="character" w:customStyle="1" w:styleId="5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autoRedefine/>
    <w:semiHidden/>
    <w:qFormat/>
    <w:uiPriority w:val="9"/>
    <w:rPr>
      <w:rFonts w:asciiTheme="majorHAnsi" w:hAnsiTheme="majorHAnsi" w:eastAsiaTheme="majorEastAsia" w:cstheme="majorBidi"/>
      <w:b/>
      <w:bCs/>
      <w:sz w:val="28"/>
      <w:szCs w:val="28"/>
    </w:rPr>
  </w:style>
  <w:style w:type="character" w:customStyle="1" w:styleId="53">
    <w:name w:val="标题 4 字符1"/>
    <w:link w:val="8"/>
    <w:autoRedefine/>
    <w:qFormat/>
    <w:uiPriority w:val="0"/>
    <w:rPr>
      <w:rFonts w:ascii="Arial" w:hAnsi="Arial" w:eastAsia="黑体"/>
      <w:b/>
      <w:sz w:val="28"/>
    </w:rPr>
  </w:style>
  <w:style w:type="paragraph" w:customStyle="1" w:styleId="54">
    <w:name w:val="普通 (Web)"/>
    <w:basedOn w:val="1"/>
    <w:autoRedefine/>
    <w:qFormat/>
    <w:uiPriority w:val="0"/>
    <w:pPr>
      <w:widowControl/>
      <w:spacing w:before="100" w:beforeAutospacing="1" w:after="100" w:afterAutospacing="1"/>
      <w:jc w:val="left"/>
    </w:pPr>
    <w:rPr>
      <w:rFonts w:cs="Times New Roman"/>
      <w:sz w:val="24"/>
      <w:szCs w:val="24"/>
    </w:rPr>
  </w:style>
  <w:style w:type="paragraph" w:customStyle="1" w:styleId="55">
    <w:name w:val="Body text|1"/>
    <w:autoRedefine/>
    <w:qFormat/>
    <w:uiPriority w:val="0"/>
    <w:pPr>
      <w:widowControl w:val="0"/>
      <w:spacing w:line="425" w:lineRule="auto"/>
      <w:ind w:firstLine="400"/>
    </w:pPr>
    <w:rPr>
      <w:rFonts w:ascii="宋体" w:hAnsi="宋体" w:eastAsia="宋体" w:cs="宋体"/>
      <w:color w:val="000000"/>
      <w:sz w:val="26"/>
      <w:szCs w:val="26"/>
      <w:lang w:val="zh-TW" w:eastAsia="zh-TW" w:bidi="zh-TW"/>
    </w:rPr>
  </w:style>
  <w:style w:type="paragraph" w:customStyle="1" w:styleId="56">
    <w:name w:val="首行缩进"/>
    <w:basedOn w:val="1"/>
    <w:autoRedefine/>
    <w:qFormat/>
    <w:uiPriority w:val="99"/>
    <w:pPr>
      <w:spacing w:line="360" w:lineRule="auto"/>
      <w:ind w:firstLine="480" w:firstLineChars="200"/>
    </w:pPr>
    <w:rPr>
      <w:rFonts w:ascii="Calibri" w:hAnsi="Calibri"/>
      <w:sz w:val="24"/>
      <w:lang w:val="zh-CN"/>
    </w:rPr>
  </w:style>
  <w:style w:type="paragraph" w:customStyle="1" w:styleId="57">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30</Pages>
  <Words>803</Words>
  <Characters>936</Characters>
  <Lines>180</Lines>
  <Paragraphs>50</Paragraphs>
  <TotalTime>27</TotalTime>
  <ScaleCrop>false</ScaleCrop>
  <LinksUpToDate>false</LinksUpToDate>
  <CharactersWithSpaces>1042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A00培训～徐</cp:lastModifiedBy>
  <cp:lastPrinted>2022-06-23T01:57:00Z</cp:lastPrinted>
  <dcterms:modified xsi:type="dcterms:W3CDTF">2025-09-05T00:35:46Z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879E9D73228E48A8BA711F2B2A72D440_13</vt:lpwstr>
  </property>
  <property fmtid="{D5CDD505-2E9C-101B-9397-08002B2CF9AE}" pid="4" name="KSOTemplateDocerSaveRecord">
    <vt:lpwstr>eyJoZGlkIjoiN2MyZTVmOGUzNTg0Yjc3ZjA3NDJlMzhmYjk2ZDg2NDAiLCJ1c2VySWQiOiI5NjA3MjY3ODYifQ==</vt:lpwstr>
  </property>
</Properties>
</file>